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F9" w:rsidRDefault="004760F9" w:rsidP="004760F9">
      <w:pPr>
        <w:pStyle w:val="Title"/>
        <w:tabs>
          <w:tab w:val="left" w:pos="-5400"/>
          <w:tab w:val="left" w:pos="-3330"/>
        </w:tabs>
        <w:rPr>
          <w:sz w:val="24"/>
          <w:lang w:val="id-ID"/>
        </w:rPr>
      </w:pPr>
      <w:r w:rsidRPr="00EF7FC0">
        <w:rPr>
          <w:sz w:val="24"/>
        </w:rPr>
        <w:t xml:space="preserve">EVALUASI TERAPI ERYTROPOETIN PADA PASIEN HEMODIALISA DI RUMAH SAKIT PKU MUHAMMADIYAH YOGYAKARTA </w:t>
      </w:r>
    </w:p>
    <w:p w:rsidR="00445091" w:rsidRDefault="00445091" w:rsidP="004760F9">
      <w:pPr>
        <w:pStyle w:val="Title"/>
        <w:tabs>
          <w:tab w:val="left" w:pos="-5400"/>
          <w:tab w:val="left" w:pos="-3330"/>
        </w:tabs>
        <w:rPr>
          <w:sz w:val="24"/>
          <w:lang w:val="id-ID"/>
        </w:rPr>
      </w:pPr>
    </w:p>
    <w:p w:rsidR="00445091" w:rsidRPr="00445091" w:rsidRDefault="00445091" w:rsidP="004760F9">
      <w:pPr>
        <w:pStyle w:val="Title"/>
        <w:tabs>
          <w:tab w:val="left" w:pos="-5400"/>
          <w:tab w:val="left" w:pos="-3330"/>
        </w:tabs>
        <w:rPr>
          <w:sz w:val="24"/>
          <w:lang w:val="id-ID"/>
        </w:rPr>
      </w:pPr>
      <w:r w:rsidRPr="00445091">
        <w:rPr>
          <w:sz w:val="24"/>
        </w:rPr>
        <w:t>EVALUATION OF ERYTROPOETIN THERAPY ON PATIENTS HEMODIALISA IN PKU MUHAMMADIYAH HOSPITAL YOGYAKARTA</w:t>
      </w:r>
    </w:p>
    <w:p w:rsidR="00D73172" w:rsidRPr="00EF7FC0" w:rsidRDefault="00D73172" w:rsidP="00D73172">
      <w:pPr>
        <w:pStyle w:val="Title"/>
        <w:rPr>
          <w:sz w:val="24"/>
        </w:rPr>
      </w:pPr>
    </w:p>
    <w:p w:rsidR="00D73172" w:rsidRPr="00EF7FC0" w:rsidRDefault="00D73172" w:rsidP="00D73172">
      <w:pPr>
        <w:jc w:val="center"/>
        <w:rPr>
          <w:b/>
          <w:sz w:val="28"/>
        </w:rPr>
      </w:pPr>
      <w:r w:rsidRPr="00EF7FC0">
        <w:rPr>
          <w:b/>
          <w:sz w:val="28"/>
        </w:rPr>
        <w:t xml:space="preserve"> </w:t>
      </w:r>
    </w:p>
    <w:p w:rsidR="004760F9" w:rsidRPr="00EF7FC0" w:rsidRDefault="004760F9" w:rsidP="00D73172">
      <w:pPr>
        <w:jc w:val="center"/>
        <w:rPr>
          <w:b/>
          <w:sz w:val="20"/>
        </w:rPr>
      </w:pPr>
      <w:r w:rsidRPr="00EF7FC0">
        <w:rPr>
          <w:b/>
          <w:sz w:val="20"/>
        </w:rPr>
        <w:t>Adnan</w:t>
      </w:r>
      <w:r w:rsidR="00D73172" w:rsidRPr="00EF7FC0">
        <w:rPr>
          <w:b/>
          <w:sz w:val="20"/>
          <w:vertAlign w:val="superscript"/>
        </w:rPr>
        <w:t>1)</w:t>
      </w:r>
      <w:r w:rsidR="00D73172" w:rsidRPr="00EF7FC0">
        <w:rPr>
          <w:b/>
          <w:sz w:val="20"/>
        </w:rPr>
        <w:t xml:space="preserve">, </w:t>
      </w:r>
      <w:r w:rsidRPr="00EF7FC0">
        <w:rPr>
          <w:b/>
          <w:sz w:val="20"/>
        </w:rPr>
        <w:t>Haafizah Dania</w:t>
      </w:r>
      <w:r w:rsidRPr="00EF7FC0">
        <w:rPr>
          <w:b/>
          <w:sz w:val="20"/>
          <w:vertAlign w:val="superscript"/>
        </w:rPr>
        <w:t>2</w:t>
      </w:r>
      <w:r w:rsidR="00D73172" w:rsidRPr="00EF7FC0">
        <w:rPr>
          <w:b/>
          <w:sz w:val="20"/>
          <w:vertAlign w:val="superscript"/>
        </w:rPr>
        <w:t>)</w:t>
      </w:r>
      <w:r w:rsidR="00D73172" w:rsidRPr="00EF7FC0">
        <w:rPr>
          <w:b/>
          <w:sz w:val="20"/>
        </w:rPr>
        <w:t xml:space="preserve"> </w:t>
      </w:r>
    </w:p>
    <w:p w:rsidR="00D73172" w:rsidRPr="00EF7FC0" w:rsidRDefault="00D73172" w:rsidP="00D73172">
      <w:pPr>
        <w:jc w:val="center"/>
        <w:rPr>
          <w:sz w:val="20"/>
        </w:rPr>
      </w:pPr>
      <w:r w:rsidRPr="00EF7FC0">
        <w:rPr>
          <w:sz w:val="20"/>
          <w:vertAlign w:val="superscript"/>
        </w:rPr>
        <w:t>1</w:t>
      </w:r>
      <w:r w:rsidRPr="00EF7FC0">
        <w:rPr>
          <w:sz w:val="20"/>
        </w:rPr>
        <w:t xml:space="preserve"> </w:t>
      </w:r>
      <w:r w:rsidR="004760F9" w:rsidRPr="00EF7FC0">
        <w:rPr>
          <w:sz w:val="20"/>
        </w:rPr>
        <w:t>Fakultas Farmasi Universitas Ahmad</w:t>
      </w:r>
      <w:r w:rsidR="00D12BFE" w:rsidRPr="00EF7FC0">
        <w:rPr>
          <w:sz w:val="20"/>
        </w:rPr>
        <w:t xml:space="preserve"> Dahlan</w:t>
      </w:r>
    </w:p>
    <w:p w:rsidR="00D73172" w:rsidRPr="00EF7FC0" w:rsidRDefault="00D73172" w:rsidP="00D73172">
      <w:pPr>
        <w:pStyle w:val="PageNumber1"/>
        <w:rPr>
          <w:rFonts w:ascii="Times New Roman" w:hAnsi="Times New Roman"/>
          <w:sz w:val="20"/>
        </w:rPr>
      </w:pPr>
      <w:proofErr w:type="gramStart"/>
      <w:r w:rsidRPr="00EF7FC0">
        <w:rPr>
          <w:rFonts w:ascii="Times New Roman" w:hAnsi="Times New Roman"/>
          <w:sz w:val="20"/>
        </w:rPr>
        <w:t>email</w:t>
      </w:r>
      <w:proofErr w:type="gramEnd"/>
      <w:r w:rsidRPr="00EF7FC0">
        <w:rPr>
          <w:rFonts w:ascii="Times New Roman" w:hAnsi="Times New Roman"/>
          <w:sz w:val="20"/>
        </w:rPr>
        <w:t xml:space="preserve">: </w:t>
      </w:r>
      <w:r w:rsidR="004760F9" w:rsidRPr="00EF7FC0">
        <w:rPr>
          <w:rFonts w:ascii="Times New Roman" w:hAnsi="Times New Roman"/>
          <w:sz w:val="20"/>
        </w:rPr>
        <w:t>adnanbwi@gmail.com</w:t>
      </w:r>
    </w:p>
    <w:p w:rsidR="00D73172" w:rsidRPr="00EF7FC0" w:rsidRDefault="00D73172" w:rsidP="00D73172">
      <w:pPr>
        <w:jc w:val="center"/>
        <w:rPr>
          <w:sz w:val="20"/>
        </w:rPr>
      </w:pPr>
      <w:r w:rsidRPr="00EF7FC0">
        <w:rPr>
          <w:sz w:val="20"/>
          <w:vertAlign w:val="superscript"/>
        </w:rPr>
        <w:t>2</w:t>
      </w:r>
      <w:r w:rsidRPr="00EF7FC0">
        <w:rPr>
          <w:sz w:val="20"/>
        </w:rPr>
        <w:t xml:space="preserve"> </w:t>
      </w:r>
      <w:r w:rsidR="004760F9" w:rsidRPr="00EF7FC0">
        <w:rPr>
          <w:sz w:val="20"/>
        </w:rPr>
        <w:t>Fakultas Farmasi Universitas Ahmad</w:t>
      </w:r>
      <w:r w:rsidR="00D12BFE" w:rsidRPr="00EF7FC0">
        <w:rPr>
          <w:sz w:val="20"/>
        </w:rPr>
        <w:t xml:space="preserve"> Dahlan</w:t>
      </w:r>
    </w:p>
    <w:p w:rsidR="00D73172" w:rsidRPr="00EF7FC0" w:rsidRDefault="00D73172" w:rsidP="00D73172">
      <w:pPr>
        <w:pStyle w:val="PageNumber1"/>
        <w:rPr>
          <w:rFonts w:ascii="Times New Roman" w:hAnsi="Times New Roman"/>
          <w:sz w:val="20"/>
        </w:rPr>
      </w:pPr>
      <w:proofErr w:type="gramStart"/>
      <w:r w:rsidRPr="00EF7FC0">
        <w:rPr>
          <w:rFonts w:ascii="Times New Roman" w:hAnsi="Times New Roman"/>
          <w:sz w:val="20"/>
        </w:rPr>
        <w:t>email</w:t>
      </w:r>
      <w:proofErr w:type="gramEnd"/>
      <w:r w:rsidRPr="00EF7FC0">
        <w:rPr>
          <w:rFonts w:ascii="Times New Roman" w:hAnsi="Times New Roman"/>
          <w:sz w:val="20"/>
        </w:rPr>
        <w:t xml:space="preserve">: </w:t>
      </w:r>
      <w:r w:rsidR="004760F9" w:rsidRPr="00EF7FC0">
        <w:rPr>
          <w:rFonts w:ascii="Times New Roman" w:hAnsi="Times New Roman"/>
          <w:sz w:val="20"/>
        </w:rPr>
        <w:t>fizadan.djogja@gmail.com</w:t>
      </w:r>
    </w:p>
    <w:p w:rsidR="00D73172" w:rsidRPr="00EF7FC0" w:rsidRDefault="00D73172" w:rsidP="00D73172">
      <w:pPr>
        <w:rPr>
          <w:b/>
        </w:rPr>
      </w:pPr>
    </w:p>
    <w:p w:rsidR="00445091" w:rsidRDefault="00445091" w:rsidP="00445091">
      <w:pPr>
        <w:jc w:val="both"/>
        <w:rPr>
          <w:rFonts w:cs="Calibri"/>
          <w:sz w:val="18"/>
          <w:szCs w:val="18"/>
          <w:lang w:val="id-ID"/>
        </w:rPr>
      </w:pPr>
    </w:p>
    <w:p w:rsidR="00445091" w:rsidRDefault="00445091" w:rsidP="00445091">
      <w:pPr>
        <w:jc w:val="center"/>
        <w:rPr>
          <w:rFonts w:cs="Calibri"/>
          <w:sz w:val="18"/>
          <w:szCs w:val="18"/>
          <w:lang w:val="id-ID"/>
        </w:rPr>
      </w:pPr>
      <w:proofErr w:type="gramStart"/>
      <w:r w:rsidRPr="001B72F3">
        <w:rPr>
          <w:rFonts w:cs="Calibri"/>
          <w:b/>
          <w:sz w:val="18"/>
          <w:szCs w:val="18"/>
        </w:rPr>
        <w:t>Abstrak</w:t>
      </w:r>
      <w:r>
        <w:rPr>
          <w:rFonts w:cs="Calibri"/>
          <w:sz w:val="18"/>
          <w:szCs w:val="18"/>
        </w:rPr>
        <w:t>.</w:t>
      </w:r>
      <w:proofErr w:type="gramEnd"/>
    </w:p>
    <w:p w:rsidR="00445091" w:rsidRPr="00445091" w:rsidRDefault="00445091" w:rsidP="00445091">
      <w:pPr>
        <w:jc w:val="center"/>
        <w:rPr>
          <w:rFonts w:cs="Calibri"/>
          <w:sz w:val="18"/>
          <w:szCs w:val="18"/>
          <w:lang w:val="id-ID"/>
        </w:rPr>
      </w:pPr>
    </w:p>
    <w:p w:rsidR="00445091" w:rsidRPr="00A16DDB" w:rsidRDefault="00445091" w:rsidP="00445091">
      <w:pPr>
        <w:ind w:firstLine="720"/>
        <w:jc w:val="both"/>
        <w:rPr>
          <w:rFonts w:cs="Calibri"/>
          <w:sz w:val="18"/>
          <w:szCs w:val="18"/>
        </w:rPr>
      </w:pPr>
      <w:proofErr w:type="gramStart"/>
      <w:r w:rsidRPr="00A16DDB">
        <w:rPr>
          <w:rFonts w:cs="Calibri"/>
          <w:sz w:val="18"/>
          <w:szCs w:val="18"/>
        </w:rPr>
        <w:t>Kebanyakan pasien dengan penyakit ginjal kronik tahap akhir yang menjalani hemodialisis mendapatkan terapi erythropoietin (EPO) untuk pengobatan anemia.</w:t>
      </w:r>
      <w:proofErr w:type="gramEnd"/>
      <w:r w:rsidRPr="00A16DDB">
        <w:rPr>
          <w:rFonts w:cs="Calibri"/>
          <w:sz w:val="18"/>
          <w:szCs w:val="18"/>
        </w:rPr>
        <w:t xml:space="preserve"> </w:t>
      </w:r>
      <w:proofErr w:type="gramStart"/>
      <w:r w:rsidRPr="00A16DDB">
        <w:rPr>
          <w:rFonts w:cs="Calibri"/>
          <w:sz w:val="18"/>
          <w:szCs w:val="18"/>
        </w:rPr>
        <w:t>Anemia defisiensi erythropoietin adalah komplikasi umum dari penyakit ginjal kronis (PGK).</w:t>
      </w:r>
      <w:proofErr w:type="gramEnd"/>
      <w:r w:rsidRPr="00A16DDB">
        <w:rPr>
          <w:rFonts w:cs="Calibri"/>
          <w:sz w:val="18"/>
          <w:szCs w:val="18"/>
        </w:rPr>
        <w:t xml:space="preserve"> </w:t>
      </w:r>
      <w:proofErr w:type="gramStart"/>
      <w:r w:rsidRPr="00A16DDB">
        <w:rPr>
          <w:rFonts w:cs="Calibri"/>
          <w:sz w:val="18"/>
          <w:szCs w:val="18"/>
        </w:rPr>
        <w:t>Pemberian EPO diharapkan dapat memperbaiki anemia yang terjadi serta dapat meningkatkan kualitas hidup pasien.</w:t>
      </w:r>
      <w:proofErr w:type="gramEnd"/>
      <w:r w:rsidRPr="00A16DDB">
        <w:rPr>
          <w:rFonts w:cs="Calibri"/>
          <w:sz w:val="18"/>
          <w:szCs w:val="18"/>
        </w:rPr>
        <w:t xml:space="preserve"> </w:t>
      </w:r>
    </w:p>
    <w:p w:rsidR="00445091" w:rsidRPr="00A16DDB" w:rsidRDefault="00445091" w:rsidP="00445091">
      <w:pPr>
        <w:ind w:firstLine="720"/>
        <w:jc w:val="both"/>
        <w:rPr>
          <w:rFonts w:cs="Calibri"/>
          <w:sz w:val="18"/>
          <w:szCs w:val="18"/>
        </w:rPr>
      </w:pPr>
      <w:r w:rsidRPr="00A16DDB">
        <w:rPr>
          <w:rFonts w:cs="Calibri"/>
          <w:sz w:val="18"/>
          <w:szCs w:val="18"/>
        </w:rPr>
        <w:t xml:space="preserve">Jenis penelitian ini adalah observasional analitik dengan pendekatan </w:t>
      </w:r>
      <w:r w:rsidRPr="00A16DDB">
        <w:rPr>
          <w:rFonts w:cs="Calibri"/>
          <w:i/>
          <w:sz w:val="18"/>
          <w:szCs w:val="18"/>
        </w:rPr>
        <w:t>cross sectional</w:t>
      </w:r>
      <w:r>
        <w:rPr>
          <w:rFonts w:cs="Calibri"/>
          <w:sz w:val="18"/>
          <w:szCs w:val="18"/>
        </w:rPr>
        <w:t xml:space="preserve">. Penelitian bertujuan untuk mengetahui </w:t>
      </w:r>
      <w:r w:rsidRPr="00A16DDB">
        <w:rPr>
          <w:rFonts w:cs="Calibri"/>
          <w:sz w:val="18"/>
          <w:szCs w:val="18"/>
        </w:rPr>
        <w:t xml:space="preserve">profil sel darah merah </w:t>
      </w:r>
      <w:r>
        <w:rPr>
          <w:rFonts w:cs="Calibri"/>
          <w:sz w:val="18"/>
          <w:szCs w:val="18"/>
        </w:rPr>
        <w:t xml:space="preserve">meliputi hemoglobin (Hb), </w:t>
      </w:r>
      <w:r w:rsidRPr="00A16DDB">
        <w:rPr>
          <w:rFonts w:cs="Calibri"/>
          <w:sz w:val="18"/>
          <w:szCs w:val="18"/>
        </w:rPr>
        <w:t>Mean Corpusculair Volume (MCV), Mean Corpusculair Haemoglobin (MCH), Mean Corpusculair Haemoglobin Concentration (MCHC</w:t>
      </w:r>
      <w:r>
        <w:rPr>
          <w:rFonts w:cs="Calibri"/>
          <w:sz w:val="18"/>
          <w:szCs w:val="18"/>
        </w:rPr>
        <w:t>) dan k</w:t>
      </w:r>
      <w:r w:rsidRPr="00A16DDB">
        <w:rPr>
          <w:rFonts w:cs="Calibri"/>
          <w:sz w:val="18"/>
          <w:szCs w:val="18"/>
        </w:rPr>
        <w:t xml:space="preserve">ualitas hidup pasien PGK yang mendapatkan terapi EPO dan non EPO di RS PKU Muhammadiyah Yogyakarta. </w:t>
      </w:r>
      <w:proofErr w:type="gramStart"/>
      <w:r w:rsidRPr="00A16DDB">
        <w:rPr>
          <w:rFonts w:cs="Calibri"/>
          <w:sz w:val="18"/>
          <w:szCs w:val="18"/>
        </w:rPr>
        <w:t>Kriteria inklusi adalah pasien yang didiagnosis PGK dengan ICD N18.9 yang menjalankan hemodialisa di RS PKU Muhammadiyah Yogyakarta, rawat jalan, dapat membaca dan memahami kuesioner</w:t>
      </w:r>
      <w:r>
        <w:rPr>
          <w:rFonts w:cs="Calibri"/>
          <w:sz w:val="18"/>
          <w:szCs w:val="18"/>
        </w:rPr>
        <w:t>, dan bersedia</w:t>
      </w:r>
      <w:r w:rsidRPr="00A16DDB">
        <w:rPr>
          <w:rFonts w:cs="Calibri"/>
          <w:sz w:val="18"/>
          <w:szCs w:val="18"/>
        </w:rPr>
        <w:t xml:space="preserve"> menjadi responden.</w:t>
      </w:r>
      <w:proofErr w:type="gramEnd"/>
    </w:p>
    <w:p w:rsidR="00445091" w:rsidRPr="00A16DDB" w:rsidRDefault="00445091" w:rsidP="00445091">
      <w:pPr>
        <w:ind w:firstLine="720"/>
        <w:jc w:val="both"/>
        <w:rPr>
          <w:rFonts w:cs="Calibri"/>
          <w:sz w:val="18"/>
          <w:szCs w:val="18"/>
        </w:rPr>
      </w:pPr>
      <w:r w:rsidRPr="00A16DDB">
        <w:rPr>
          <w:rFonts w:cs="Calibri"/>
          <w:sz w:val="18"/>
          <w:szCs w:val="18"/>
        </w:rPr>
        <w:t>Hasil penelitian menunjukkan tidak adanya perbedaan yang signifikan</w:t>
      </w:r>
      <w:r>
        <w:rPr>
          <w:rFonts w:cs="Calibri"/>
          <w:sz w:val="18"/>
          <w:szCs w:val="18"/>
        </w:rPr>
        <w:t xml:space="preserve"> </w:t>
      </w:r>
      <w:r w:rsidRPr="003C4862">
        <w:rPr>
          <w:rFonts w:cs="Calibri"/>
          <w:sz w:val="18"/>
          <w:szCs w:val="18"/>
        </w:rPr>
        <w:t>(p&gt;0</w:t>
      </w:r>
      <w:proofErr w:type="gramStart"/>
      <w:r w:rsidRPr="003C4862">
        <w:rPr>
          <w:rFonts w:cs="Calibri"/>
          <w:sz w:val="18"/>
          <w:szCs w:val="18"/>
        </w:rPr>
        <w:t>,05</w:t>
      </w:r>
      <w:proofErr w:type="gramEnd"/>
      <w:r w:rsidRPr="003C4862">
        <w:rPr>
          <w:rFonts w:cs="Calibri"/>
          <w:sz w:val="18"/>
          <w:szCs w:val="18"/>
        </w:rPr>
        <w:t>)</w:t>
      </w:r>
      <w:r>
        <w:rPr>
          <w:rFonts w:cs="Calibri"/>
          <w:sz w:val="18"/>
          <w:szCs w:val="18"/>
        </w:rPr>
        <w:t xml:space="preserve"> </w:t>
      </w:r>
      <w:r w:rsidRPr="001B72F3">
        <w:rPr>
          <w:rFonts w:cs="Calibri"/>
          <w:sz w:val="18"/>
          <w:szCs w:val="18"/>
        </w:rPr>
        <w:t xml:space="preserve">profil sel darah merah (Hb, MCV, MCH &amp; MCHC </w:t>
      </w:r>
      <w:r w:rsidRPr="00A16DDB">
        <w:rPr>
          <w:rFonts w:cs="Calibri"/>
          <w:sz w:val="18"/>
          <w:szCs w:val="18"/>
        </w:rPr>
        <w:t xml:space="preserve">antara kelompok terapi EPO dan non EPO. Hubungan penggunaan EPO terhadap kualitas hidup pasien pada semua domain KDQOL yaitu </w:t>
      </w:r>
      <w:r w:rsidRPr="00A16DDB">
        <w:rPr>
          <w:rFonts w:cs="Calibri"/>
          <w:i/>
          <w:sz w:val="18"/>
          <w:szCs w:val="18"/>
        </w:rPr>
        <w:t>p</w:t>
      </w:r>
      <w:r w:rsidRPr="00A16DDB">
        <w:rPr>
          <w:rFonts w:cs="Calibri"/>
          <w:sz w:val="18"/>
          <w:szCs w:val="18"/>
        </w:rPr>
        <w:t>&gt;0</w:t>
      </w:r>
      <w:proofErr w:type="gramStart"/>
      <w:r w:rsidRPr="00A16DDB">
        <w:rPr>
          <w:rFonts w:cs="Calibri"/>
          <w:sz w:val="18"/>
          <w:szCs w:val="18"/>
        </w:rPr>
        <w:t>,05</w:t>
      </w:r>
      <w:proofErr w:type="gramEnd"/>
      <w:r w:rsidRPr="00A16DDB">
        <w:rPr>
          <w:rFonts w:cs="Calibri"/>
          <w:sz w:val="18"/>
          <w:szCs w:val="18"/>
        </w:rPr>
        <w:t>.</w:t>
      </w:r>
    </w:p>
    <w:p w:rsidR="00445091" w:rsidRPr="00A16DDB" w:rsidRDefault="00445091" w:rsidP="00445091">
      <w:pPr>
        <w:ind w:firstLine="720"/>
        <w:jc w:val="both"/>
        <w:rPr>
          <w:rFonts w:cs="Calibri"/>
          <w:sz w:val="18"/>
          <w:szCs w:val="18"/>
        </w:rPr>
      </w:pPr>
      <w:proofErr w:type="gramStart"/>
      <w:r w:rsidRPr="00A16DDB">
        <w:rPr>
          <w:rFonts w:cs="Calibri"/>
          <w:sz w:val="18"/>
          <w:szCs w:val="18"/>
        </w:rPr>
        <w:t>Kesimpulan dari penelitian ini menunjukan bahwa tidak terdapat perbedaan signifikan antara terapi EPO dan Non EPO serta tidak terdapat hubungan penggunaan EPO dan non EPO terhadap Kualitas Hidup pasien hemodialisa.</w:t>
      </w:r>
      <w:proofErr w:type="gramEnd"/>
    </w:p>
    <w:p w:rsidR="00445091" w:rsidRPr="00A16DDB" w:rsidRDefault="00445091" w:rsidP="00445091">
      <w:pPr>
        <w:jc w:val="both"/>
        <w:rPr>
          <w:rFonts w:cs="Calibri"/>
          <w:sz w:val="18"/>
          <w:szCs w:val="18"/>
        </w:rPr>
      </w:pPr>
    </w:p>
    <w:p w:rsidR="00445091" w:rsidRPr="00445091" w:rsidRDefault="00445091" w:rsidP="00445091">
      <w:pPr>
        <w:spacing w:after="120"/>
        <w:rPr>
          <w:b/>
          <w:sz w:val="22"/>
          <w:szCs w:val="22"/>
          <w:lang w:val="id-ID"/>
        </w:rPr>
      </w:pPr>
      <w:r w:rsidRPr="00A16DDB">
        <w:rPr>
          <w:rFonts w:cs="Calibri"/>
          <w:b/>
          <w:sz w:val="18"/>
          <w:szCs w:val="18"/>
        </w:rPr>
        <w:t xml:space="preserve">Kata </w:t>
      </w:r>
      <w:proofErr w:type="gramStart"/>
      <w:r w:rsidRPr="00A16DDB">
        <w:rPr>
          <w:rFonts w:cs="Calibri"/>
          <w:b/>
          <w:sz w:val="18"/>
          <w:szCs w:val="18"/>
        </w:rPr>
        <w:t>kunci</w:t>
      </w:r>
      <w:r w:rsidRPr="00A16DDB">
        <w:rPr>
          <w:rFonts w:cs="Calibri"/>
          <w:sz w:val="18"/>
          <w:szCs w:val="18"/>
        </w:rPr>
        <w:t xml:space="preserve"> :</w:t>
      </w:r>
      <w:proofErr w:type="gramEnd"/>
      <w:r w:rsidRPr="00A16DDB">
        <w:rPr>
          <w:rFonts w:cs="Calibri"/>
          <w:sz w:val="18"/>
          <w:szCs w:val="18"/>
        </w:rPr>
        <w:t xml:space="preserve"> EPO,Hb,MCH,MCV,MCHC, Kualitas Hidup</w:t>
      </w:r>
    </w:p>
    <w:p w:rsidR="00445091" w:rsidRDefault="00445091" w:rsidP="00D12BFE">
      <w:pPr>
        <w:spacing w:after="120"/>
        <w:jc w:val="center"/>
        <w:rPr>
          <w:b/>
          <w:i/>
          <w:sz w:val="22"/>
          <w:szCs w:val="22"/>
          <w:lang w:val="id-ID"/>
        </w:rPr>
      </w:pPr>
    </w:p>
    <w:p w:rsidR="00D73172" w:rsidRPr="00EF7FC0" w:rsidRDefault="00D73172" w:rsidP="00D12BFE">
      <w:pPr>
        <w:spacing w:after="120"/>
        <w:jc w:val="center"/>
        <w:rPr>
          <w:b/>
          <w:i/>
          <w:sz w:val="22"/>
          <w:szCs w:val="22"/>
        </w:rPr>
      </w:pPr>
      <w:r w:rsidRPr="00EF7FC0">
        <w:rPr>
          <w:b/>
          <w:i/>
          <w:sz w:val="22"/>
          <w:szCs w:val="22"/>
        </w:rPr>
        <w:t>Abstract</w:t>
      </w:r>
    </w:p>
    <w:p w:rsidR="00D12BFE" w:rsidRPr="00EF7FC0" w:rsidRDefault="00D12BFE" w:rsidP="00D12BFE">
      <w:pPr>
        <w:autoSpaceDE w:val="0"/>
        <w:ind w:right="14"/>
        <w:jc w:val="both"/>
        <w:rPr>
          <w:i/>
          <w:sz w:val="22"/>
          <w:szCs w:val="22"/>
        </w:rPr>
      </w:pPr>
      <w:proofErr w:type="gramStart"/>
      <w:r w:rsidRPr="00EF7FC0">
        <w:rPr>
          <w:i/>
          <w:sz w:val="22"/>
          <w:szCs w:val="22"/>
        </w:rPr>
        <w:t>Most of the patients with end-stage renal disease who undergoing hemodialysis received erythropoietin (EPO) therapy for the anemia treatment.</w:t>
      </w:r>
      <w:proofErr w:type="gramEnd"/>
      <w:r w:rsidRPr="00EF7FC0">
        <w:rPr>
          <w:i/>
          <w:sz w:val="22"/>
          <w:szCs w:val="22"/>
        </w:rPr>
        <w:t xml:space="preserve"> Deficiency anemia erythropoietin is a common complication of chronic kidney disease (CKD). EPO therapy is expected to improve the anemia and can improve the quality of life of patients.</w:t>
      </w:r>
    </w:p>
    <w:p w:rsidR="00D12BFE" w:rsidRPr="00EF7FC0" w:rsidRDefault="00D12BFE" w:rsidP="00445091">
      <w:pPr>
        <w:autoSpaceDE w:val="0"/>
        <w:ind w:right="14" w:firstLine="720"/>
        <w:jc w:val="both"/>
        <w:rPr>
          <w:i/>
          <w:sz w:val="22"/>
          <w:szCs w:val="22"/>
        </w:rPr>
      </w:pPr>
      <w:r w:rsidRPr="00EF7FC0">
        <w:rPr>
          <w:i/>
          <w:sz w:val="22"/>
          <w:szCs w:val="22"/>
        </w:rPr>
        <w:t xml:space="preserve">This study was conducted in an analytic observational with Cross Secsional design. The purpose of this study was to know there was </w:t>
      </w:r>
      <w:proofErr w:type="gramStart"/>
      <w:r w:rsidRPr="00EF7FC0">
        <w:rPr>
          <w:i/>
          <w:sz w:val="22"/>
          <w:szCs w:val="22"/>
        </w:rPr>
        <w:t>a difference of red blood cell profile involve</w:t>
      </w:r>
      <w:proofErr w:type="gramEnd"/>
      <w:r w:rsidRPr="00EF7FC0">
        <w:rPr>
          <w:i/>
          <w:sz w:val="22"/>
          <w:szCs w:val="22"/>
        </w:rPr>
        <w:t xml:space="preserve"> hemoglobin (Hb), Mean Corpusculair Volume (MCV), Mean Corpusculair Haemoglobin (MCH), Mean Corpusculair Haemoglobin Concentration (MCHC) and quality of life of CKD patients who received EPO and non EPO therapy in PKU Muhammadiyah Yogyakarta Hospital. Inclusion criteria in this study were PGK ICD N18.9 patients who were undergoing hemodialysis therapy at RS PKU Muhammadiyah Yogyakarta, outpatient, can read and understand the questionnaire, and accept to be a respondent.</w:t>
      </w:r>
    </w:p>
    <w:p w:rsidR="00D12BFE" w:rsidRPr="00EF7FC0" w:rsidRDefault="00D12BFE" w:rsidP="00445091">
      <w:pPr>
        <w:autoSpaceDE w:val="0"/>
        <w:ind w:right="14" w:firstLine="720"/>
        <w:jc w:val="both"/>
        <w:rPr>
          <w:i/>
          <w:sz w:val="22"/>
          <w:szCs w:val="22"/>
        </w:rPr>
      </w:pPr>
      <w:r w:rsidRPr="00EF7FC0">
        <w:rPr>
          <w:i/>
          <w:sz w:val="22"/>
          <w:szCs w:val="22"/>
        </w:rPr>
        <w:t>The results of this study showed no significant difference (p&gt;0</w:t>
      </w:r>
      <w:proofErr w:type="gramStart"/>
      <w:r w:rsidRPr="00EF7FC0">
        <w:rPr>
          <w:i/>
          <w:sz w:val="22"/>
          <w:szCs w:val="22"/>
        </w:rPr>
        <w:t>,05</w:t>
      </w:r>
      <w:proofErr w:type="gramEnd"/>
      <w:r w:rsidRPr="00EF7FC0">
        <w:rPr>
          <w:i/>
          <w:sz w:val="22"/>
          <w:szCs w:val="22"/>
        </w:rPr>
        <w:t>) in red blood cell (Hb, MCV, MCH, MCHC) between EPO and non EPO therapy groups. The associated of EPO with the quality of life of patients in all of KDQOL domains was p&gt; 0.05.</w:t>
      </w:r>
    </w:p>
    <w:p w:rsidR="00D12BFE" w:rsidRPr="00EF7FC0" w:rsidRDefault="00D12BFE" w:rsidP="00445091">
      <w:pPr>
        <w:autoSpaceDE w:val="0"/>
        <w:ind w:right="14" w:firstLine="720"/>
        <w:jc w:val="both"/>
        <w:rPr>
          <w:i/>
          <w:sz w:val="22"/>
          <w:szCs w:val="22"/>
        </w:rPr>
      </w:pPr>
      <w:r w:rsidRPr="00EF7FC0">
        <w:rPr>
          <w:i/>
          <w:sz w:val="22"/>
          <w:szCs w:val="22"/>
        </w:rPr>
        <w:t>The conclusions of this study showed that there was no significant difference between EPO and Non EPO therapy and there was no correlation between EPO and non EPO therapy with quality of life of hemodialysis patients.</w:t>
      </w:r>
    </w:p>
    <w:p w:rsidR="00D73172" w:rsidRPr="00EF7FC0" w:rsidRDefault="00D73172" w:rsidP="00D73172">
      <w:pPr>
        <w:autoSpaceDE w:val="0"/>
        <w:ind w:right="14"/>
        <w:jc w:val="both"/>
        <w:rPr>
          <w:i/>
          <w:sz w:val="22"/>
          <w:szCs w:val="22"/>
        </w:rPr>
      </w:pPr>
    </w:p>
    <w:p w:rsidR="00D73172" w:rsidRPr="00EF7FC0" w:rsidRDefault="00D73172" w:rsidP="00D73172">
      <w:pPr>
        <w:autoSpaceDE w:val="0"/>
        <w:jc w:val="right"/>
        <w:rPr>
          <w:b/>
          <w:i/>
          <w:sz w:val="22"/>
          <w:szCs w:val="22"/>
        </w:rPr>
      </w:pPr>
    </w:p>
    <w:p w:rsidR="00D73172" w:rsidRPr="00EF7FC0" w:rsidRDefault="00D73172" w:rsidP="007432C2">
      <w:pPr>
        <w:autoSpaceDE w:val="0"/>
        <w:spacing w:after="120"/>
        <w:ind w:left="1080" w:right="14" w:hanging="1080"/>
        <w:rPr>
          <w:i/>
          <w:sz w:val="22"/>
          <w:szCs w:val="22"/>
        </w:rPr>
      </w:pPr>
      <w:r w:rsidRPr="00EF7FC0">
        <w:rPr>
          <w:b/>
          <w:i/>
          <w:sz w:val="22"/>
          <w:szCs w:val="22"/>
        </w:rPr>
        <w:t xml:space="preserve">Keywords:  </w:t>
      </w:r>
      <w:r w:rsidR="00D12BFE" w:rsidRPr="00EF7FC0">
        <w:rPr>
          <w:i/>
          <w:sz w:val="22"/>
          <w:szCs w:val="22"/>
        </w:rPr>
        <w:t xml:space="preserve">Keywords: EPO, Hb, MCH, MCV, MCHC, quality of life </w:t>
      </w:r>
    </w:p>
    <w:p w:rsidR="00CA633C" w:rsidRPr="00EF7FC0" w:rsidRDefault="00CA633C" w:rsidP="00BE7B73">
      <w:pPr>
        <w:pStyle w:val="Heading1"/>
        <w:suppressAutoHyphens/>
        <w:spacing w:after="120"/>
        <w:ind w:left="274" w:hanging="274"/>
        <w:jc w:val="both"/>
        <w:rPr>
          <w:i w:val="0"/>
          <w:sz w:val="22"/>
          <w:szCs w:val="22"/>
        </w:rPr>
        <w:sectPr w:rsidR="00CA633C" w:rsidRPr="00EF7FC0" w:rsidSect="00CA633C">
          <w:footerReference w:type="default" r:id="rId8"/>
          <w:pgSz w:w="11909" w:h="16834" w:code="9"/>
          <w:pgMar w:top="1584" w:right="1440" w:bottom="1440" w:left="1584" w:header="720" w:footer="720" w:gutter="0"/>
          <w:cols w:space="720"/>
          <w:docGrid w:linePitch="360"/>
        </w:sectPr>
      </w:pPr>
    </w:p>
    <w:p w:rsidR="00D73172" w:rsidRPr="00EF7FC0" w:rsidRDefault="00D73172" w:rsidP="00BE7B73">
      <w:pPr>
        <w:pStyle w:val="Heading1"/>
        <w:numPr>
          <w:ilvl w:val="0"/>
          <w:numId w:val="2"/>
        </w:numPr>
        <w:suppressAutoHyphens/>
        <w:spacing w:before="240" w:after="60"/>
        <w:ind w:left="274" w:hanging="274"/>
        <w:rPr>
          <w:i w:val="0"/>
          <w:sz w:val="22"/>
          <w:szCs w:val="22"/>
        </w:rPr>
      </w:pPr>
      <w:r w:rsidRPr="00EF7FC0">
        <w:rPr>
          <w:i w:val="0"/>
          <w:sz w:val="22"/>
          <w:szCs w:val="22"/>
        </w:rPr>
        <w:lastRenderedPageBreak/>
        <w:t xml:space="preserve">PENDAHULUAN </w:t>
      </w:r>
    </w:p>
    <w:p w:rsidR="00B80114" w:rsidRPr="00EF7FC0" w:rsidRDefault="00B80114" w:rsidP="00BB05D3">
      <w:pPr>
        <w:ind w:firstLine="720"/>
        <w:jc w:val="both"/>
        <w:rPr>
          <w:sz w:val="22"/>
          <w:szCs w:val="22"/>
        </w:rPr>
      </w:pPr>
      <w:r w:rsidRPr="00EF7FC0">
        <w:rPr>
          <w:sz w:val="22"/>
          <w:szCs w:val="22"/>
        </w:rPr>
        <w:t xml:space="preserve">Anemia pada penderita gagal ginjal sudah di mulai sejak awal yaitu sejak timbulnya penyakit sejalan dengan kerusakan jaringan ginjal yang progresif, derajat anemianya </w:t>
      </w:r>
      <w:proofErr w:type="gramStart"/>
      <w:r w:rsidRPr="00EF7FC0">
        <w:rPr>
          <w:sz w:val="22"/>
          <w:szCs w:val="22"/>
        </w:rPr>
        <w:t>akan</w:t>
      </w:r>
      <w:proofErr w:type="gramEnd"/>
      <w:r w:rsidRPr="00EF7FC0">
        <w:rPr>
          <w:sz w:val="22"/>
          <w:szCs w:val="22"/>
        </w:rPr>
        <w:t xml:space="preserve"> meningkat (Bhatta </w:t>
      </w:r>
      <w:r w:rsidRPr="00EF7FC0">
        <w:rPr>
          <w:i/>
          <w:sz w:val="22"/>
          <w:szCs w:val="22"/>
        </w:rPr>
        <w:t>et al</w:t>
      </w:r>
      <w:r w:rsidRPr="00EF7FC0">
        <w:rPr>
          <w:sz w:val="22"/>
          <w:szCs w:val="22"/>
        </w:rPr>
        <w:t>,</w:t>
      </w:r>
      <w:r w:rsidR="001B08F6" w:rsidRPr="00EF7FC0">
        <w:rPr>
          <w:sz w:val="22"/>
          <w:szCs w:val="22"/>
        </w:rPr>
        <w:t xml:space="preserve"> </w:t>
      </w:r>
      <w:r w:rsidRPr="00EF7FC0">
        <w:rPr>
          <w:sz w:val="22"/>
          <w:szCs w:val="22"/>
        </w:rPr>
        <w:t>2011).</w:t>
      </w:r>
    </w:p>
    <w:p w:rsidR="00B80114" w:rsidRPr="00EF7FC0" w:rsidRDefault="00B80114" w:rsidP="001B08F6">
      <w:pPr>
        <w:ind w:firstLine="720"/>
        <w:jc w:val="both"/>
        <w:rPr>
          <w:sz w:val="22"/>
          <w:szCs w:val="22"/>
        </w:rPr>
      </w:pPr>
      <w:proofErr w:type="gramStart"/>
      <w:r w:rsidRPr="00EF7FC0">
        <w:rPr>
          <w:sz w:val="22"/>
          <w:szCs w:val="22"/>
        </w:rPr>
        <w:t>Faktor utama penyebab terjadinya anemia adalah defisiensi eritropoetin (EPO) sebagai akibat kerusakan sel-sel penghasil EPO (sel peritubuler) pada ginjal.</w:t>
      </w:r>
      <w:proofErr w:type="gramEnd"/>
      <w:r w:rsidRPr="00EF7FC0">
        <w:rPr>
          <w:sz w:val="22"/>
          <w:szCs w:val="22"/>
        </w:rPr>
        <w:t xml:space="preserve"> Disamping itu,ada  beberapa faktor yang memperberat terjadinya anemia antara lain adanya zat inhibitor ertropoesis, perdarahan akibat trombopati, anemia</w:t>
      </w:r>
      <w:r w:rsidR="00D26F89" w:rsidRPr="00EF7FC0">
        <w:rPr>
          <w:sz w:val="22"/>
          <w:szCs w:val="22"/>
        </w:rPr>
        <w:t xml:space="preserve"> h</w:t>
      </w:r>
      <w:r w:rsidRPr="00EF7FC0">
        <w:rPr>
          <w:sz w:val="22"/>
          <w:szCs w:val="22"/>
        </w:rPr>
        <w:t>emeolitik akibat terjadinya mikroangiopati,</w:t>
      </w:r>
      <w:r w:rsidR="00D26F89" w:rsidRPr="00EF7FC0">
        <w:rPr>
          <w:sz w:val="22"/>
          <w:szCs w:val="22"/>
        </w:rPr>
        <w:t xml:space="preserve"> </w:t>
      </w:r>
      <w:r w:rsidRPr="00EF7FC0">
        <w:rPr>
          <w:sz w:val="22"/>
          <w:szCs w:val="22"/>
        </w:rPr>
        <w:t xml:space="preserve">kehilangan darah akibat pengambilan darah untuk pemeriksaan laboratorium, atau darah yang terperangkap atau tertinggal di alat hemodialisa,defisiensi zat besi dan zat nutrisi lainnya,hiperparatiroid sekunder (Hanif,2009). Dilaporkan dari 86 penderita yang menjalani hemodialisa rutin di RS Hasan Sadikin Bandung 100% menderita </w:t>
      </w:r>
      <w:proofErr w:type="gramStart"/>
      <w:r w:rsidRPr="00EF7FC0">
        <w:rPr>
          <w:sz w:val="22"/>
          <w:szCs w:val="22"/>
        </w:rPr>
        <w:t>anemia(</w:t>
      </w:r>
      <w:proofErr w:type="gramEnd"/>
      <w:r w:rsidRPr="00EF7FC0">
        <w:rPr>
          <w:sz w:val="22"/>
          <w:szCs w:val="22"/>
        </w:rPr>
        <w:t xml:space="preserve">Sumpeno </w:t>
      </w:r>
      <w:r w:rsidRPr="00EF7FC0">
        <w:rPr>
          <w:i/>
          <w:sz w:val="22"/>
          <w:szCs w:val="22"/>
        </w:rPr>
        <w:t>et al</w:t>
      </w:r>
      <w:r w:rsidRPr="00EF7FC0">
        <w:rPr>
          <w:sz w:val="22"/>
          <w:szCs w:val="22"/>
        </w:rPr>
        <w:t>,1993).</w:t>
      </w:r>
    </w:p>
    <w:p w:rsidR="00B80114" w:rsidRPr="00EF7FC0" w:rsidRDefault="00B80114" w:rsidP="001B08F6">
      <w:pPr>
        <w:ind w:firstLine="720"/>
        <w:jc w:val="both"/>
        <w:rPr>
          <w:sz w:val="22"/>
          <w:szCs w:val="22"/>
        </w:rPr>
      </w:pPr>
      <w:proofErr w:type="gramStart"/>
      <w:r w:rsidRPr="00EF7FC0">
        <w:rPr>
          <w:sz w:val="22"/>
          <w:szCs w:val="22"/>
        </w:rPr>
        <w:t>Anemia memberikan kontribusi untuk kualitas hidup yang buruk pada pasien penyakit ginjal tahap akhir.</w:t>
      </w:r>
      <w:proofErr w:type="gramEnd"/>
      <w:r w:rsidRPr="00EF7FC0">
        <w:rPr>
          <w:sz w:val="22"/>
          <w:szCs w:val="22"/>
        </w:rPr>
        <w:t xml:space="preserve"> </w:t>
      </w:r>
      <w:proofErr w:type="gramStart"/>
      <w:r w:rsidRPr="00EF7FC0">
        <w:rPr>
          <w:sz w:val="22"/>
          <w:szCs w:val="22"/>
        </w:rPr>
        <w:t xml:space="preserve">Penyebab anemia karena terjadinya penurunan produksi </w:t>
      </w:r>
      <w:r w:rsidR="001B08F6" w:rsidRPr="00EF7FC0">
        <w:rPr>
          <w:sz w:val="22"/>
          <w:szCs w:val="22"/>
        </w:rPr>
        <w:t>eritropoetin</w:t>
      </w:r>
      <w:r w:rsidRPr="00EF7FC0">
        <w:rPr>
          <w:sz w:val="22"/>
          <w:szCs w:val="22"/>
        </w:rPr>
        <w:t xml:space="preserve"> ginjal sehingga hasilnya tidak memadai.</w:t>
      </w:r>
      <w:proofErr w:type="gramEnd"/>
      <w:r w:rsidRPr="00EF7FC0">
        <w:rPr>
          <w:sz w:val="22"/>
          <w:szCs w:val="22"/>
        </w:rPr>
        <w:t xml:space="preserve"> </w:t>
      </w:r>
      <w:proofErr w:type="gramStart"/>
      <w:r w:rsidRPr="00EF7FC0">
        <w:rPr>
          <w:sz w:val="22"/>
          <w:szCs w:val="22"/>
        </w:rPr>
        <w:t>Kebanyakan pasien yang menerima hemodialisis untuk penyakit ginjal tahap akhir menerima terapi erythropoietin (EPO) atau merangsang agen eritropoiesis (ESA) untuk pengobatan anemia.</w:t>
      </w:r>
      <w:proofErr w:type="gramEnd"/>
      <w:r w:rsidRPr="00EF7FC0">
        <w:rPr>
          <w:sz w:val="22"/>
          <w:szCs w:val="22"/>
        </w:rPr>
        <w:t xml:space="preserve"> </w:t>
      </w:r>
      <w:proofErr w:type="gramStart"/>
      <w:r w:rsidRPr="00EF7FC0">
        <w:rPr>
          <w:sz w:val="22"/>
          <w:szCs w:val="22"/>
        </w:rPr>
        <w:t xml:space="preserve">Anemia defisiensi </w:t>
      </w:r>
      <w:r w:rsidR="001B08F6" w:rsidRPr="00EF7FC0">
        <w:rPr>
          <w:sz w:val="22"/>
          <w:szCs w:val="22"/>
        </w:rPr>
        <w:t>eritropoetin</w:t>
      </w:r>
      <w:r w:rsidRPr="00EF7FC0">
        <w:rPr>
          <w:sz w:val="22"/>
          <w:szCs w:val="22"/>
        </w:rPr>
        <w:t xml:space="preserve"> adalah komplikasi umum dari penyakit ginjal kronis.</w:t>
      </w:r>
      <w:proofErr w:type="gramEnd"/>
      <w:r w:rsidRPr="00EF7FC0">
        <w:rPr>
          <w:sz w:val="22"/>
          <w:szCs w:val="22"/>
        </w:rPr>
        <w:t xml:space="preserve"> </w:t>
      </w:r>
      <w:proofErr w:type="gramStart"/>
      <w:r w:rsidRPr="00EF7FC0">
        <w:rPr>
          <w:sz w:val="22"/>
          <w:szCs w:val="22"/>
        </w:rPr>
        <w:t>Hal ini dapat diobati dengan pemberian EPO, transfusi sel darah merah (RBCT), atau kombinasi keduanya.</w:t>
      </w:r>
      <w:proofErr w:type="gramEnd"/>
      <w:r w:rsidRPr="00EF7FC0">
        <w:rPr>
          <w:sz w:val="22"/>
          <w:szCs w:val="22"/>
        </w:rPr>
        <w:t xml:space="preserve"> </w:t>
      </w:r>
      <w:proofErr w:type="gramStart"/>
      <w:r w:rsidRPr="00EF7FC0">
        <w:rPr>
          <w:sz w:val="22"/>
          <w:szCs w:val="22"/>
        </w:rPr>
        <w:t>Namun, pengobatan yang diterima secara luas pada pasien anemia adalah administrasi EPO.</w:t>
      </w:r>
      <w:proofErr w:type="gramEnd"/>
      <w:r w:rsidRPr="00EF7FC0">
        <w:rPr>
          <w:sz w:val="22"/>
          <w:szCs w:val="22"/>
        </w:rPr>
        <w:t xml:space="preserve"> </w:t>
      </w:r>
      <w:proofErr w:type="gramStart"/>
      <w:r w:rsidRPr="00EF7FC0">
        <w:rPr>
          <w:sz w:val="22"/>
          <w:szCs w:val="22"/>
        </w:rPr>
        <w:t>Studi awal menemukan bahwa EPO mengurangi kebutuhan untuk RBCT dan meningkatkan kualitas hidup (QOL) pada pasien dengan penyakit ginjal kronis (CKD), bila dibandingkan dengan tidak ada administrasi EPO.</w:t>
      </w:r>
      <w:proofErr w:type="gramEnd"/>
      <w:r w:rsidRPr="00EF7FC0">
        <w:rPr>
          <w:sz w:val="22"/>
          <w:szCs w:val="22"/>
        </w:rPr>
        <w:t xml:space="preserve"> EPO </w:t>
      </w:r>
      <w:proofErr w:type="gramStart"/>
      <w:r w:rsidRPr="00EF7FC0">
        <w:rPr>
          <w:sz w:val="22"/>
          <w:szCs w:val="22"/>
        </w:rPr>
        <w:t>age</w:t>
      </w:r>
      <w:r w:rsidR="00D26F89" w:rsidRPr="00EF7FC0">
        <w:rPr>
          <w:sz w:val="22"/>
          <w:szCs w:val="22"/>
        </w:rPr>
        <w:t>n</w:t>
      </w:r>
      <w:r w:rsidRPr="00EF7FC0">
        <w:rPr>
          <w:sz w:val="22"/>
          <w:szCs w:val="22"/>
        </w:rPr>
        <w:t>ts</w:t>
      </w:r>
      <w:proofErr w:type="gramEnd"/>
      <w:r w:rsidRPr="00EF7FC0">
        <w:rPr>
          <w:sz w:val="22"/>
          <w:szCs w:val="22"/>
        </w:rPr>
        <w:t xml:space="preserve"> secara rutin digunakan untuk mengobati anemia penyakit ginjal kronis (CKD), terutama pada pasien yang membutuhkan hemodialisa. </w:t>
      </w:r>
    </w:p>
    <w:p w:rsidR="00B80114" w:rsidRPr="00EF7FC0" w:rsidRDefault="00B80114" w:rsidP="00B80114">
      <w:pPr>
        <w:spacing w:after="120"/>
        <w:jc w:val="both"/>
        <w:rPr>
          <w:sz w:val="22"/>
          <w:szCs w:val="22"/>
        </w:rPr>
      </w:pPr>
      <w:r w:rsidRPr="00EF7FC0">
        <w:rPr>
          <w:sz w:val="22"/>
          <w:szCs w:val="22"/>
        </w:rPr>
        <w:t>Tujuan penelitian ini untuk mengetahui gambaran perbedaan profil HB,</w:t>
      </w:r>
      <w:r w:rsidR="009E6228" w:rsidRPr="00EF7FC0">
        <w:rPr>
          <w:sz w:val="22"/>
          <w:szCs w:val="22"/>
        </w:rPr>
        <w:t xml:space="preserve"> </w:t>
      </w:r>
      <w:r w:rsidRPr="00EF7FC0">
        <w:rPr>
          <w:sz w:val="22"/>
          <w:szCs w:val="22"/>
        </w:rPr>
        <w:t>MCH,</w:t>
      </w:r>
      <w:r w:rsidR="009E6228" w:rsidRPr="00EF7FC0">
        <w:rPr>
          <w:sz w:val="22"/>
          <w:szCs w:val="22"/>
        </w:rPr>
        <w:t xml:space="preserve"> </w:t>
      </w:r>
      <w:r w:rsidRPr="00EF7FC0">
        <w:rPr>
          <w:sz w:val="22"/>
          <w:szCs w:val="22"/>
        </w:rPr>
        <w:t>MCV,</w:t>
      </w:r>
      <w:r w:rsidR="009E6228" w:rsidRPr="00EF7FC0">
        <w:rPr>
          <w:sz w:val="22"/>
          <w:szCs w:val="22"/>
        </w:rPr>
        <w:t xml:space="preserve"> </w:t>
      </w:r>
      <w:r w:rsidRPr="00EF7FC0">
        <w:rPr>
          <w:sz w:val="22"/>
          <w:szCs w:val="22"/>
        </w:rPr>
        <w:t xml:space="preserve">MCHC dan kualitas </w:t>
      </w:r>
      <w:proofErr w:type="gramStart"/>
      <w:r w:rsidRPr="00EF7FC0">
        <w:rPr>
          <w:sz w:val="22"/>
          <w:szCs w:val="22"/>
        </w:rPr>
        <w:t>hidup  pasien</w:t>
      </w:r>
      <w:proofErr w:type="gramEnd"/>
      <w:r w:rsidRPr="00EF7FC0">
        <w:rPr>
          <w:sz w:val="22"/>
          <w:szCs w:val="22"/>
        </w:rPr>
        <w:t xml:space="preserve"> GGK yang </w:t>
      </w:r>
      <w:r w:rsidRPr="00EF7FC0">
        <w:rPr>
          <w:sz w:val="22"/>
          <w:szCs w:val="22"/>
        </w:rPr>
        <w:lastRenderedPageBreak/>
        <w:t>di terapi dengan ertropoetin dan selain eritropoetin.</w:t>
      </w:r>
    </w:p>
    <w:p w:rsidR="006459CF" w:rsidRPr="00EF7FC0" w:rsidRDefault="006459CF" w:rsidP="006459CF">
      <w:pPr>
        <w:pStyle w:val="Heading1"/>
        <w:numPr>
          <w:ilvl w:val="0"/>
          <w:numId w:val="2"/>
        </w:numPr>
        <w:suppressAutoHyphens/>
        <w:spacing w:after="60"/>
        <w:ind w:left="270" w:hanging="270"/>
        <w:rPr>
          <w:i w:val="0"/>
          <w:sz w:val="22"/>
          <w:szCs w:val="22"/>
        </w:rPr>
      </w:pPr>
      <w:r w:rsidRPr="00EF7FC0">
        <w:rPr>
          <w:i w:val="0"/>
          <w:sz w:val="22"/>
          <w:szCs w:val="22"/>
        </w:rPr>
        <w:t>KAJIAN LITERATUR DAN PEGEMBANGAN HIPOTESIS (JIKA ADA)</w:t>
      </w:r>
    </w:p>
    <w:p w:rsidR="0014192D" w:rsidRPr="00EF7FC0" w:rsidRDefault="0014192D" w:rsidP="00BB05D3">
      <w:pPr>
        <w:ind w:firstLine="360"/>
        <w:jc w:val="both"/>
        <w:rPr>
          <w:sz w:val="22"/>
          <w:szCs w:val="22"/>
        </w:rPr>
      </w:pPr>
      <w:r w:rsidRPr="00EF7FC0">
        <w:rPr>
          <w:sz w:val="22"/>
          <w:szCs w:val="22"/>
        </w:rPr>
        <w:t xml:space="preserve">Penyakit Ginjal Kronis (PGK) adalah suatu proses patofisiologi dengan etiologi yang beragam, mengakibatkan penurunan fungsi ginjal yang progresif dan irreversibel serta umumnya berakhir dengan gagal ginjal. </w:t>
      </w:r>
      <w:proofErr w:type="gramStart"/>
      <w:r w:rsidRPr="00EF7FC0">
        <w:rPr>
          <w:sz w:val="22"/>
          <w:szCs w:val="22"/>
        </w:rPr>
        <w:t>(Suwitra, 2009)</w:t>
      </w:r>
      <w:r w:rsidR="009A02F9" w:rsidRPr="00EF7FC0">
        <w:rPr>
          <w:sz w:val="22"/>
          <w:szCs w:val="22"/>
        </w:rPr>
        <w:t>.</w:t>
      </w:r>
      <w:proofErr w:type="gramEnd"/>
    </w:p>
    <w:p w:rsidR="009A02F9" w:rsidRPr="00EF7FC0" w:rsidRDefault="009A02F9" w:rsidP="009A02F9">
      <w:pPr>
        <w:ind w:firstLine="360"/>
        <w:jc w:val="both"/>
        <w:rPr>
          <w:sz w:val="22"/>
          <w:szCs w:val="22"/>
        </w:rPr>
      </w:pPr>
      <w:r w:rsidRPr="00EF7FC0">
        <w:rPr>
          <w:sz w:val="22"/>
          <w:szCs w:val="22"/>
        </w:rPr>
        <w:t xml:space="preserve">Faktor-faktor yang berkaitan dengan anemia pada penyakit ginjal kronik termasuk kehilangan darah, pemendekan masa hidup sel darah merah, defisiensi vitamin, “uremic milieu”, defisiensi eritropoetin, defisiensi besi dan inflamasi. </w:t>
      </w:r>
    </w:p>
    <w:p w:rsidR="009A02F9" w:rsidRPr="00EF7FC0" w:rsidRDefault="009A02F9" w:rsidP="00850401">
      <w:pPr>
        <w:ind w:firstLine="360"/>
        <w:jc w:val="both"/>
        <w:rPr>
          <w:sz w:val="22"/>
          <w:szCs w:val="22"/>
        </w:rPr>
      </w:pPr>
      <w:proofErr w:type="gramStart"/>
      <w:r w:rsidRPr="00EF7FC0">
        <w:rPr>
          <w:sz w:val="22"/>
          <w:szCs w:val="22"/>
        </w:rPr>
        <w:t>Defisiensi eritropoetin merupakan penyebab utama anemia pada pasien-pasien penyakit ginjal kronik.</w:t>
      </w:r>
      <w:proofErr w:type="gramEnd"/>
      <w:r w:rsidRPr="00EF7FC0">
        <w:rPr>
          <w:sz w:val="22"/>
          <w:szCs w:val="22"/>
        </w:rPr>
        <w:t xml:space="preserve"> </w:t>
      </w:r>
      <w:proofErr w:type="gramStart"/>
      <w:r w:rsidRPr="00EF7FC0">
        <w:rPr>
          <w:sz w:val="22"/>
          <w:szCs w:val="22"/>
        </w:rPr>
        <w:t>Para peneliti mengatakan bahwa sel-sel peritubular yang menghasilkan eritropoetin rusak sebagian atau seluruhnya seiring dengan progresivitas penyakit ginjalnya, sehingga produksi eritropoetin tidak serendah sesuai dengan derajat anemianya.</w:t>
      </w:r>
      <w:proofErr w:type="gramEnd"/>
    </w:p>
    <w:p w:rsidR="00BB05D3" w:rsidRPr="00EF7FC0" w:rsidRDefault="00BB05D3" w:rsidP="00850401">
      <w:pPr>
        <w:ind w:firstLine="360"/>
        <w:jc w:val="both"/>
        <w:rPr>
          <w:sz w:val="22"/>
          <w:szCs w:val="22"/>
        </w:rPr>
      </w:pPr>
      <w:r w:rsidRPr="00EF7FC0">
        <w:rPr>
          <w:sz w:val="22"/>
          <w:szCs w:val="22"/>
        </w:rPr>
        <w:t xml:space="preserve">Menurut Kawahara </w:t>
      </w:r>
      <w:r w:rsidRPr="00EF7FC0">
        <w:rPr>
          <w:i/>
          <w:sz w:val="22"/>
          <w:szCs w:val="22"/>
        </w:rPr>
        <w:t>et al</w:t>
      </w:r>
      <w:r w:rsidRPr="00EF7FC0">
        <w:rPr>
          <w:sz w:val="22"/>
          <w:szCs w:val="22"/>
        </w:rPr>
        <w:t xml:space="preserve"> (2015) pada penelitiannya yang berjudul Treatment of Renal Anemia With Erythropoetin-Stimulating Agents in Predialisis Chronic Kidney Disease Patien, yaitu membandingkan profil Hb antara kelompok yang diterapi Epo dan non Epo (CERA), hasilnya Hb secara signifikan lebih tinggi pada kelompok CERA dari kelompo Epo di awal dialisis</w:t>
      </w:r>
    </w:p>
    <w:p w:rsidR="00850401" w:rsidRPr="00EF7FC0" w:rsidRDefault="00850401" w:rsidP="00850401">
      <w:pPr>
        <w:ind w:firstLine="360"/>
        <w:jc w:val="both"/>
        <w:rPr>
          <w:sz w:val="22"/>
          <w:szCs w:val="22"/>
        </w:rPr>
      </w:pPr>
      <w:r w:rsidRPr="00EF7FC0">
        <w:rPr>
          <w:sz w:val="22"/>
          <w:szCs w:val="22"/>
        </w:rPr>
        <w:t xml:space="preserve">Pada penelitian di Kanada yang dilakukan oleh keown </w:t>
      </w:r>
      <w:r w:rsidRPr="00EF7FC0">
        <w:rPr>
          <w:i/>
          <w:sz w:val="22"/>
          <w:szCs w:val="22"/>
        </w:rPr>
        <w:t>et al</w:t>
      </w:r>
      <w:r w:rsidRPr="00EF7FC0">
        <w:rPr>
          <w:sz w:val="22"/>
          <w:szCs w:val="22"/>
        </w:rPr>
        <w:t>, (2010) dengan judul ‘Dialysis patients treated with epoetin alfa show improved anemia symptoms: A new analysis of the Canadian erytripoietin study grup trial’ menunjukkan bahwa terapi pasien hemodialysis dengan erythropoiesis- stimulating agent meningkatkan kualitas hidup.</w:t>
      </w:r>
    </w:p>
    <w:p w:rsidR="00850401" w:rsidRPr="00EF7FC0" w:rsidRDefault="00BB05D3" w:rsidP="00850401">
      <w:pPr>
        <w:ind w:firstLine="360"/>
        <w:jc w:val="both"/>
        <w:rPr>
          <w:sz w:val="22"/>
          <w:szCs w:val="22"/>
        </w:rPr>
      </w:pPr>
      <w:r w:rsidRPr="00EF7FC0">
        <w:rPr>
          <w:sz w:val="22"/>
          <w:szCs w:val="22"/>
        </w:rPr>
        <w:t>Hipotesis pada penelitian adalah adanya perbedaan profil Hb, MCH, MCV, dan MCHC serta kualitas hidup pada pasien dengan penyakit ginjal kronik yang anemia yang mendapatkan terapi Epo dan non Epo</w:t>
      </w:r>
    </w:p>
    <w:p w:rsidR="009A02F9" w:rsidRPr="00EF7FC0" w:rsidRDefault="009A02F9" w:rsidP="00850401">
      <w:pPr>
        <w:ind w:firstLine="360"/>
        <w:jc w:val="both"/>
        <w:rPr>
          <w:sz w:val="22"/>
          <w:szCs w:val="22"/>
        </w:rPr>
      </w:pPr>
    </w:p>
    <w:p w:rsidR="006459CF" w:rsidRPr="00EF7FC0" w:rsidRDefault="006459CF" w:rsidP="006459CF">
      <w:pPr>
        <w:pStyle w:val="Heading1"/>
        <w:numPr>
          <w:ilvl w:val="0"/>
          <w:numId w:val="2"/>
        </w:numPr>
        <w:suppressAutoHyphens/>
        <w:spacing w:after="60"/>
        <w:ind w:left="270" w:hanging="270"/>
        <w:rPr>
          <w:i w:val="0"/>
          <w:sz w:val="22"/>
          <w:szCs w:val="22"/>
        </w:rPr>
      </w:pPr>
      <w:r w:rsidRPr="00EF7FC0">
        <w:rPr>
          <w:i w:val="0"/>
          <w:sz w:val="22"/>
          <w:szCs w:val="22"/>
        </w:rPr>
        <w:t>METODE PENELITIAN</w:t>
      </w:r>
    </w:p>
    <w:p w:rsidR="00F8402B" w:rsidRPr="00EF7FC0" w:rsidRDefault="00F8402B" w:rsidP="00962F6D">
      <w:pPr>
        <w:ind w:firstLine="360"/>
        <w:jc w:val="both"/>
        <w:rPr>
          <w:sz w:val="22"/>
          <w:szCs w:val="22"/>
        </w:rPr>
      </w:pPr>
      <w:proofErr w:type="gramStart"/>
      <w:r w:rsidRPr="00EF7FC0">
        <w:rPr>
          <w:sz w:val="22"/>
          <w:szCs w:val="22"/>
        </w:rPr>
        <w:t xml:space="preserve">Rancangan penelitian ini adalah observational analitik dengan pendekatan </w:t>
      </w:r>
      <w:r w:rsidRPr="00EF7FC0">
        <w:rPr>
          <w:i/>
          <w:sz w:val="22"/>
          <w:szCs w:val="22"/>
        </w:rPr>
        <w:lastRenderedPageBreak/>
        <w:t>cross-sectional.</w:t>
      </w:r>
      <w:proofErr w:type="gramEnd"/>
      <w:r w:rsidRPr="00EF7FC0">
        <w:rPr>
          <w:i/>
          <w:sz w:val="22"/>
          <w:szCs w:val="22"/>
        </w:rPr>
        <w:t xml:space="preserve"> </w:t>
      </w:r>
      <w:proofErr w:type="gramStart"/>
      <w:r w:rsidRPr="00EF7FC0">
        <w:rPr>
          <w:i/>
          <w:sz w:val="22"/>
          <w:szCs w:val="22"/>
        </w:rPr>
        <w:t>S</w:t>
      </w:r>
      <w:r w:rsidRPr="00EF7FC0">
        <w:rPr>
          <w:sz w:val="22"/>
          <w:szCs w:val="22"/>
        </w:rPr>
        <w:t>ubyek penelitian pasien gagal ginjal kronik yang menjalani hemodialisa di Rumah Sakit PKU Muhammadiyah Yogyakarta.</w:t>
      </w:r>
      <w:proofErr w:type="gramEnd"/>
    </w:p>
    <w:p w:rsidR="00962F6D" w:rsidRPr="00EF7FC0" w:rsidRDefault="00962F6D" w:rsidP="00962F6D">
      <w:pPr>
        <w:ind w:firstLine="360"/>
        <w:jc w:val="both"/>
        <w:rPr>
          <w:szCs w:val="24"/>
        </w:rPr>
      </w:pPr>
      <w:r w:rsidRPr="00EF7FC0">
        <w:rPr>
          <w:sz w:val="22"/>
          <w:szCs w:val="22"/>
        </w:rPr>
        <w:t xml:space="preserve">Kriteria inklusinya </w:t>
      </w:r>
      <w:proofErr w:type="gramStart"/>
      <w:r w:rsidRPr="00EF7FC0">
        <w:rPr>
          <w:sz w:val="22"/>
          <w:szCs w:val="22"/>
        </w:rPr>
        <w:t>yaitu :</w:t>
      </w:r>
      <w:proofErr w:type="gramEnd"/>
      <w:r w:rsidRPr="00EF7FC0">
        <w:rPr>
          <w:sz w:val="22"/>
          <w:szCs w:val="22"/>
        </w:rPr>
        <w:t xml:space="preserve"> pasien terdiagnosis </w:t>
      </w:r>
      <w:r w:rsidRPr="00EF7FC0">
        <w:rPr>
          <w:bCs/>
          <w:sz w:val="22"/>
          <w:szCs w:val="22"/>
        </w:rPr>
        <w:t>terdiagnosis gagal</w:t>
      </w:r>
      <w:r w:rsidRPr="00EF7FC0">
        <w:rPr>
          <w:bCs/>
          <w:sz w:val="22"/>
          <w:szCs w:val="22"/>
          <w:lang w:val="id-ID"/>
        </w:rPr>
        <w:t xml:space="preserve"> </w:t>
      </w:r>
      <w:r w:rsidRPr="00EF7FC0">
        <w:rPr>
          <w:bCs/>
          <w:sz w:val="22"/>
          <w:szCs w:val="22"/>
        </w:rPr>
        <w:t>ginjal terminal dengan ICD N18.9 yang sedang</w:t>
      </w:r>
      <w:r w:rsidRPr="00EF7FC0">
        <w:rPr>
          <w:bCs/>
          <w:sz w:val="22"/>
          <w:szCs w:val="22"/>
          <w:lang w:val="id-ID"/>
        </w:rPr>
        <w:t xml:space="preserve"> </w:t>
      </w:r>
      <w:r w:rsidRPr="00EF7FC0">
        <w:rPr>
          <w:bCs/>
          <w:sz w:val="22"/>
          <w:szCs w:val="22"/>
        </w:rPr>
        <w:t>menjalani</w:t>
      </w:r>
      <w:r w:rsidRPr="00EF7FC0">
        <w:rPr>
          <w:bCs/>
          <w:sz w:val="22"/>
          <w:szCs w:val="22"/>
          <w:lang w:val="id-ID"/>
        </w:rPr>
        <w:t xml:space="preserve"> </w:t>
      </w:r>
      <w:r w:rsidRPr="00EF7FC0">
        <w:rPr>
          <w:bCs/>
          <w:sz w:val="22"/>
          <w:szCs w:val="22"/>
        </w:rPr>
        <w:t>perawatan</w:t>
      </w:r>
      <w:r w:rsidRPr="00EF7FC0">
        <w:rPr>
          <w:bCs/>
          <w:sz w:val="22"/>
          <w:szCs w:val="22"/>
          <w:lang w:val="id-ID"/>
        </w:rPr>
        <w:t xml:space="preserve"> </w:t>
      </w:r>
      <w:r w:rsidRPr="00EF7FC0">
        <w:rPr>
          <w:bCs/>
          <w:sz w:val="22"/>
          <w:szCs w:val="22"/>
        </w:rPr>
        <w:t xml:space="preserve">di unit hemodialisa RS PKU Muhammadiyah; pasien rawat jalan; bisa membaca dan memahami kuesioner; dan bersedia berpartisipasi dalam penelitian. </w:t>
      </w:r>
      <w:proofErr w:type="gramStart"/>
      <w:r w:rsidRPr="00EF7FC0">
        <w:rPr>
          <w:bCs/>
          <w:sz w:val="22"/>
          <w:szCs w:val="22"/>
        </w:rPr>
        <w:t>kriteria</w:t>
      </w:r>
      <w:proofErr w:type="gramEnd"/>
      <w:r w:rsidRPr="00EF7FC0">
        <w:rPr>
          <w:bCs/>
          <w:sz w:val="22"/>
          <w:szCs w:val="22"/>
        </w:rPr>
        <w:t xml:space="preserve"> eksklusinya : pasien tidak dapat diwawancarai; dan tidak bisa menyelesaikan pertanyaan.</w:t>
      </w:r>
    </w:p>
    <w:p w:rsidR="00F8402B" w:rsidRPr="00EF7FC0" w:rsidRDefault="008129FC" w:rsidP="000F5E3B">
      <w:pPr>
        <w:pStyle w:val="NormalWeb"/>
        <w:spacing w:before="0" w:beforeAutospacing="0" w:after="0" w:afterAutospacing="0"/>
        <w:ind w:firstLine="360"/>
        <w:jc w:val="both"/>
        <w:rPr>
          <w:sz w:val="22"/>
          <w:szCs w:val="22"/>
        </w:rPr>
      </w:pPr>
      <w:r w:rsidRPr="00EF7FC0">
        <w:rPr>
          <w:sz w:val="22"/>
          <w:szCs w:val="22"/>
        </w:rPr>
        <w:t xml:space="preserve">Data yang diambil </w:t>
      </w:r>
      <w:r w:rsidR="00F8402B" w:rsidRPr="00EF7FC0">
        <w:rPr>
          <w:sz w:val="22"/>
          <w:szCs w:val="22"/>
        </w:rPr>
        <w:t xml:space="preserve">yaitu nilai </w:t>
      </w:r>
      <w:r w:rsidRPr="00EF7FC0">
        <w:rPr>
          <w:sz w:val="22"/>
          <w:szCs w:val="22"/>
        </w:rPr>
        <w:t xml:space="preserve">Hb, </w:t>
      </w:r>
      <w:r w:rsidR="00F8402B" w:rsidRPr="00EF7FC0">
        <w:rPr>
          <w:sz w:val="22"/>
          <w:szCs w:val="22"/>
        </w:rPr>
        <w:t>MCH</w:t>
      </w:r>
      <w:proofErr w:type="gramStart"/>
      <w:r w:rsidR="00F8402B" w:rsidRPr="00EF7FC0">
        <w:rPr>
          <w:sz w:val="22"/>
          <w:szCs w:val="22"/>
        </w:rPr>
        <w:t>,MCV,dan</w:t>
      </w:r>
      <w:proofErr w:type="gramEnd"/>
      <w:r w:rsidR="00F8402B" w:rsidRPr="00EF7FC0">
        <w:rPr>
          <w:sz w:val="22"/>
          <w:szCs w:val="22"/>
        </w:rPr>
        <w:t xml:space="preserve"> MCHC serta kualitas hidup pada  pasien gagal ginjal kronis </w:t>
      </w:r>
      <w:r w:rsidR="00962F6D" w:rsidRPr="00EF7FC0">
        <w:rPr>
          <w:sz w:val="22"/>
          <w:szCs w:val="22"/>
        </w:rPr>
        <w:t>yang</w:t>
      </w:r>
      <w:r w:rsidR="00F8402B" w:rsidRPr="00EF7FC0">
        <w:rPr>
          <w:sz w:val="22"/>
          <w:szCs w:val="22"/>
        </w:rPr>
        <w:t xml:space="preserve"> menjalani hemodialis yang mengalami anemia  </w:t>
      </w:r>
      <w:r w:rsidRPr="00EF7FC0">
        <w:rPr>
          <w:sz w:val="22"/>
          <w:szCs w:val="22"/>
        </w:rPr>
        <w:t xml:space="preserve">dan </w:t>
      </w:r>
      <w:r w:rsidR="00F8402B" w:rsidRPr="00EF7FC0">
        <w:rPr>
          <w:sz w:val="22"/>
          <w:szCs w:val="22"/>
        </w:rPr>
        <w:t>mendapat terapi eritropoitin</w:t>
      </w:r>
      <w:r w:rsidR="00962F6D" w:rsidRPr="00EF7FC0">
        <w:rPr>
          <w:sz w:val="22"/>
          <w:szCs w:val="22"/>
        </w:rPr>
        <w:t>.</w:t>
      </w:r>
      <w:r w:rsidR="00F8402B" w:rsidRPr="00EF7FC0">
        <w:rPr>
          <w:sz w:val="22"/>
          <w:szCs w:val="22"/>
        </w:rPr>
        <w:t xml:space="preserve"> </w:t>
      </w:r>
    </w:p>
    <w:p w:rsidR="00F8402B" w:rsidRPr="00EF7FC0" w:rsidRDefault="00F8402B" w:rsidP="00962F6D">
      <w:pPr>
        <w:ind w:firstLine="360"/>
        <w:jc w:val="both"/>
        <w:rPr>
          <w:sz w:val="22"/>
          <w:szCs w:val="22"/>
        </w:rPr>
      </w:pPr>
      <w:r w:rsidRPr="00EF7FC0">
        <w:rPr>
          <w:sz w:val="22"/>
          <w:szCs w:val="22"/>
          <w:lang w:val="id-ID"/>
        </w:rPr>
        <w:t xml:space="preserve">Instrumen yang di gunakan dalam penelitian ini adalah </w:t>
      </w:r>
      <w:r w:rsidRPr="00EF7FC0">
        <w:rPr>
          <w:sz w:val="22"/>
          <w:szCs w:val="22"/>
        </w:rPr>
        <w:t xml:space="preserve"> ku</w:t>
      </w:r>
      <w:r w:rsidRPr="00EF7FC0">
        <w:rPr>
          <w:spacing w:val="-1"/>
          <w:sz w:val="22"/>
          <w:szCs w:val="22"/>
        </w:rPr>
        <w:t>e</w:t>
      </w:r>
      <w:r w:rsidRPr="00EF7FC0">
        <w:rPr>
          <w:sz w:val="22"/>
          <w:szCs w:val="22"/>
        </w:rPr>
        <w:t>s</w:t>
      </w:r>
      <w:r w:rsidRPr="00EF7FC0">
        <w:rPr>
          <w:spacing w:val="1"/>
          <w:sz w:val="22"/>
          <w:szCs w:val="22"/>
        </w:rPr>
        <w:t>i</w:t>
      </w:r>
      <w:r w:rsidRPr="00EF7FC0">
        <w:rPr>
          <w:sz w:val="22"/>
          <w:szCs w:val="22"/>
        </w:rPr>
        <w:t>on</w:t>
      </w:r>
      <w:r w:rsidRPr="00EF7FC0">
        <w:rPr>
          <w:spacing w:val="-1"/>
          <w:sz w:val="22"/>
          <w:szCs w:val="22"/>
        </w:rPr>
        <w:t>e</w:t>
      </w:r>
      <w:r w:rsidRPr="00EF7FC0">
        <w:rPr>
          <w:sz w:val="22"/>
          <w:szCs w:val="22"/>
        </w:rPr>
        <w:t xml:space="preserve">r </w:t>
      </w:r>
      <w:r w:rsidRPr="00EF7FC0">
        <w:rPr>
          <w:i/>
          <w:spacing w:val="1"/>
          <w:sz w:val="22"/>
          <w:szCs w:val="22"/>
        </w:rPr>
        <w:t>Ki</w:t>
      </w:r>
      <w:r w:rsidRPr="00EF7FC0">
        <w:rPr>
          <w:i/>
          <w:sz w:val="22"/>
          <w:szCs w:val="22"/>
        </w:rPr>
        <w:t>dn</w:t>
      </w:r>
      <w:r w:rsidRPr="00EF7FC0">
        <w:rPr>
          <w:i/>
          <w:spacing w:val="-1"/>
          <w:sz w:val="22"/>
          <w:szCs w:val="22"/>
        </w:rPr>
        <w:t>e</w:t>
      </w:r>
      <w:r w:rsidRPr="00EF7FC0">
        <w:rPr>
          <w:i/>
          <w:sz w:val="22"/>
          <w:szCs w:val="22"/>
        </w:rPr>
        <w:t>y</w:t>
      </w:r>
      <w:r w:rsidRPr="00EF7FC0">
        <w:rPr>
          <w:i/>
          <w:sz w:val="22"/>
          <w:szCs w:val="22"/>
          <w:lang w:val="id-ID"/>
        </w:rPr>
        <w:t xml:space="preserve"> </w:t>
      </w:r>
      <w:r w:rsidRPr="00EF7FC0">
        <w:rPr>
          <w:i/>
          <w:sz w:val="22"/>
          <w:szCs w:val="22"/>
        </w:rPr>
        <w:t>D</w:t>
      </w:r>
      <w:r w:rsidRPr="00EF7FC0">
        <w:rPr>
          <w:i/>
          <w:spacing w:val="1"/>
          <w:sz w:val="22"/>
          <w:szCs w:val="22"/>
        </w:rPr>
        <w:t>i</w:t>
      </w:r>
      <w:r w:rsidRPr="00EF7FC0">
        <w:rPr>
          <w:i/>
          <w:sz w:val="22"/>
          <w:szCs w:val="22"/>
        </w:rPr>
        <w:t>s</w:t>
      </w:r>
      <w:r w:rsidRPr="00EF7FC0">
        <w:rPr>
          <w:i/>
          <w:spacing w:val="-1"/>
          <w:sz w:val="22"/>
          <w:szCs w:val="22"/>
        </w:rPr>
        <w:t>e</w:t>
      </w:r>
      <w:r w:rsidRPr="00EF7FC0">
        <w:rPr>
          <w:i/>
          <w:sz w:val="22"/>
          <w:szCs w:val="22"/>
        </w:rPr>
        <w:t>ase Qua</w:t>
      </w:r>
      <w:r w:rsidRPr="00EF7FC0">
        <w:rPr>
          <w:i/>
          <w:spacing w:val="1"/>
          <w:sz w:val="22"/>
          <w:szCs w:val="22"/>
        </w:rPr>
        <w:t>lit</w:t>
      </w:r>
      <w:r w:rsidRPr="00EF7FC0">
        <w:rPr>
          <w:i/>
          <w:sz w:val="22"/>
          <w:szCs w:val="22"/>
        </w:rPr>
        <w:t>y</w:t>
      </w:r>
      <w:r w:rsidRPr="00EF7FC0">
        <w:rPr>
          <w:i/>
          <w:sz w:val="22"/>
          <w:szCs w:val="22"/>
          <w:lang w:val="id-ID"/>
        </w:rPr>
        <w:t xml:space="preserve"> </w:t>
      </w:r>
      <w:r w:rsidRPr="00EF7FC0">
        <w:rPr>
          <w:i/>
          <w:sz w:val="22"/>
          <w:szCs w:val="22"/>
        </w:rPr>
        <w:t>of</w:t>
      </w:r>
      <w:r w:rsidRPr="00EF7FC0">
        <w:rPr>
          <w:i/>
          <w:sz w:val="22"/>
          <w:szCs w:val="22"/>
          <w:lang w:val="id-ID"/>
        </w:rPr>
        <w:t xml:space="preserve"> </w:t>
      </w:r>
      <w:r w:rsidRPr="00EF7FC0">
        <w:rPr>
          <w:i/>
          <w:spacing w:val="-1"/>
          <w:sz w:val="22"/>
          <w:szCs w:val="22"/>
        </w:rPr>
        <w:t>L</w:t>
      </w:r>
      <w:r w:rsidRPr="00EF7FC0">
        <w:rPr>
          <w:i/>
          <w:spacing w:val="1"/>
          <w:sz w:val="22"/>
          <w:szCs w:val="22"/>
        </w:rPr>
        <w:t>if</w:t>
      </w:r>
      <w:r w:rsidRPr="00EF7FC0">
        <w:rPr>
          <w:i/>
          <w:sz w:val="22"/>
          <w:szCs w:val="22"/>
        </w:rPr>
        <w:t>e</w:t>
      </w:r>
      <w:r w:rsidRPr="00EF7FC0">
        <w:rPr>
          <w:i/>
          <w:sz w:val="22"/>
          <w:szCs w:val="22"/>
          <w:lang w:val="id-ID"/>
        </w:rPr>
        <w:t xml:space="preserve"> </w:t>
      </w:r>
      <w:r w:rsidRPr="00EF7FC0">
        <w:rPr>
          <w:i/>
          <w:sz w:val="22"/>
          <w:szCs w:val="22"/>
        </w:rPr>
        <w:t>Short</w:t>
      </w:r>
      <w:r w:rsidRPr="00EF7FC0">
        <w:rPr>
          <w:i/>
          <w:sz w:val="22"/>
          <w:szCs w:val="22"/>
          <w:lang w:val="id-ID"/>
        </w:rPr>
        <w:t xml:space="preserve"> </w:t>
      </w:r>
      <w:r w:rsidRPr="00EF7FC0">
        <w:rPr>
          <w:i/>
          <w:spacing w:val="-3"/>
          <w:sz w:val="22"/>
          <w:szCs w:val="22"/>
        </w:rPr>
        <w:t>F</w:t>
      </w:r>
      <w:r w:rsidRPr="00EF7FC0">
        <w:rPr>
          <w:i/>
          <w:sz w:val="22"/>
          <w:szCs w:val="22"/>
        </w:rPr>
        <w:t xml:space="preserve">orm </w:t>
      </w:r>
      <w:r w:rsidRPr="00EF7FC0">
        <w:rPr>
          <w:i/>
          <w:spacing w:val="-1"/>
          <w:sz w:val="22"/>
          <w:szCs w:val="22"/>
        </w:rPr>
        <w:t>(</w:t>
      </w:r>
      <w:r w:rsidRPr="00EF7FC0">
        <w:rPr>
          <w:sz w:val="22"/>
          <w:szCs w:val="22"/>
        </w:rPr>
        <w:t>KDQ</w:t>
      </w:r>
      <w:r w:rsidRPr="00EF7FC0">
        <w:rPr>
          <w:spacing w:val="2"/>
          <w:sz w:val="22"/>
          <w:szCs w:val="22"/>
        </w:rPr>
        <w:t>O</w:t>
      </w:r>
      <w:r w:rsidRPr="00EF7FC0">
        <w:rPr>
          <w:spacing w:val="-3"/>
          <w:sz w:val="22"/>
          <w:szCs w:val="22"/>
        </w:rPr>
        <w:t>L</w:t>
      </w:r>
      <w:r w:rsidRPr="00EF7FC0">
        <w:rPr>
          <w:sz w:val="22"/>
          <w:szCs w:val="22"/>
        </w:rPr>
        <w:t>-</w:t>
      </w:r>
      <w:r w:rsidRPr="00EF7FC0">
        <w:rPr>
          <w:spacing w:val="3"/>
          <w:sz w:val="22"/>
          <w:szCs w:val="22"/>
        </w:rPr>
        <w:t>S</w:t>
      </w:r>
      <w:r w:rsidRPr="00EF7FC0">
        <w:rPr>
          <w:spacing w:val="-1"/>
          <w:sz w:val="22"/>
          <w:szCs w:val="22"/>
        </w:rPr>
        <w:t>F</w:t>
      </w:r>
      <w:r w:rsidRPr="00EF7FC0">
        <w:rPr>
          <w:spacing w:val="-2"/>
          <w:position w:val="11"/>
          <w:sz w:val="10"/>
          <w:szCs w:val="22"/>
        </w:rPr>
        <w:t>T</w:t>
      </w:r>
      <w:r w:rsidRPr="00EF7FC0">
        <w:rPr>
          <w:spacing w:val="1"/>
          <w:position w:val="11"/>
          <w:sz w:val="10"/>
          <w:szCs w:val="22"/>
        </w:rPr>
        <w:t>M</w:t>
      </w:r>
      <w:r w:rsidRPr="00EF7FC0">
        <w:rPr>
          <w:sz w:val="22"/>
          <w:szCs w:val="22"/>
        </w:rPr>
        <w:t>)</w:t>
      </w:r>
      <w:r w:rsidRPr="00EF7FC0">
        <w:rPr>
          <w:sz w:val="22"/>
          <w:szCs w:val="22"/>
          <w:lang w:val="id-ID"/>
        </w:rPr>
        <w:t xml:space="preserve"> </w:t>
      </w:r>
      <w:r w:rsidRPr="00EF7FC0">
        <w:rPr>
          <w:sz w:val="22"/>
          <w:szCs w:val="22"/>
        </w:rPr>
        <w:t>v</w:t>
      </w:r>
      <w:r w:rsidRPr="00EF7FC0">
        <w:rPr>
          <w:spacing w:val="2"/>
          <w:sz w:val="22"/>
          <w:szCs w:val="22"/>
        </w:rPr>
        <w:t>e</w:t>
      </w:r>
      <w:r w:rsidRPr="00EF7FC0">
        <w:rPr>
          <w:spacing w:val="-1"/>
          <w:sz w:val="22"/>
          <w:szCs w:val="22"/>
        </w:rPr>
        <w:t>r</w:t>
      </w:r>
      <w:r w:rsidRPr="00EF7FC0">
        <w:rPr>
          <w:sz w:val="22"/>
          <w:szCs w:val="22"/>
        </w:rPr>
        <w:t>si</w:t>
      </w:r>
      <w:r w:rsidRPr="00EF7FC0">
        <w:rPr>
          <w:sz w:val="22"/>
          <w:szCs w:val="22"/>
          <w:lang w:val="id-ID"/>
        </w:rPr>
        <w:t xml:space="preserve"> </w:t>
      </w:r>
      <w:r w:rsidRPr="00EF7FC0">
        <w:rPr>
          <w:sz w:val="22"/>
          <w:szCs w:val="22"/>
        </w:rPr>
        <w:t>1.3</w:t>
      </w:r>
      <w:r w:rsidRPr="00EF7FC0">
        <w:rPr>
          <w:sz w:val="22"/>
          <w:szCs w:val="22"/>
          <w:lang w:val="id-ID"/>
        </w:rPr>
        <w:t xml:space="preserve"> </w:t>
      </w:r>
      <w:r w:rsidRPr="00EF7FC0">
        <w:rPr>
          <w:spacing w:val="-5"/>
          <w:sz w:val="22"/>
          <w:szCs w:val="22"/>
        </w:rPr>
        <w:t>y</w:t>
      </w:r>
      <w:r w:rsidRPr="00EF7FC0">
        <w:rPr>
          <w:spacing w:val="-1"/>
          <w:sz w:val="22"/>
          <w:szCs w:val="22"/>
        </w:rPr>
        <w:t>a</w:t>
      </w:r>
      <w:r w:rsidRPr="00EF7FC0">
        <w:rPr>
          <w:spacing w:val="2"/>
          <w:sz w:val="22"/>
          <w:szCs w:val="22"/>
        </w:rPr>
        <w:t>n</w:t>
      </w:r>
      <w:r w:rsidRPr="00EF7FC0">
        <w:rPr>
          <w:sz w:val="22"/>
          <w:szCs w:val="22"/>
        </w:rPr>
        <w:t>g</w:t>
      </w:r>
      <w:r w:rsidRPr="00EF7FC0">
        <w:rPr>
          <w:sz w:val="22"/>
          <w:szCs w:val="22"/>
          <w:lang w:val="id-ID"/>
        </w:rPr>
        <w:t xml:space="preserve"> </w:t>
      </w:r>
      <w:r w:rsidRPr="00EF7FC0">
        <w:rPr>
          <w:sz w:val="22"/>
          <w:szCs w:val="22"/>
        </w:rPr>
        <w:t>d</w:t>
      </w:r>
      <w:r w:rsidRPr="00EF7FC0">
        <w:rPr>
          <w:spacing w:val="1"/>
          <w:sz w:val="22"/>
          <w:szCs w:val="22"/>
        </w:rPr>
        <w:t>i</w:t>
      </w:r>
      <w:r w:rsidRPr="00EF7FC0">
        <w:rPr>
          <w:sz w:val="22"/>
          <w:szCs w:val="22"/>
        </w:rPr>
        <w:t>pub</w:t>
      </w:r>
      <w:r w:rsidRPr="00EF7FC0">
        <w:rPr>
          <w:spacing w:val="1"/>
          <w:sz w:val="22"/>
          <w:szCs w:val="22"/>
        </w:rPr>
        <w:t>li</w:t>
      </w:r>
      <w:r w:rsidRPr="00EF7FC0">
        <w:rPr>
          <w:sz w:val="22"/>
          <w:szCs w:val="22"/>
        </w:rPr>
        <w:t>k</w:t>
      </w:r>
      <w:r w:rsidRPr="00EF7FC0">
        <w:rPr>
          <w:spacing w:val="-1"/>
          <w:sz w:val="22"/>
          <w:szCs w:val="22"/>
        </w:rPr>
        <w:t>a</w:t>
      </w:r>
      <w:r w:rsidRPr="00EF7FC0">
        <w:rPr>
          <w:sz w:val="22"/>
          <w:szCs w:val="22"/>
        </w:rPr>
        <w:t>s</w:t>
      </w:r>
      <w:r w:rsidRPr="00EF7FC0">
        <w:rPr>
          <w:spacing w:val="1"/>
          <w:sz w:val="22"/>
          <w:szCs w:val="22"/>
        </w:rPr>
        <w:t>i</w:t>
      </w:r>
      <w:r w:rsidRPr="00EF7FC0">
        <w:rPr>
          <w:sz w:val="22"/>
          <w:szCs w:val="22"/>
        </w:rPr>
        <w:t>k</w:t>
      </w:r>
      <w:r w:rsidRPr="00EF7FC0">
        <w:rPr>
          <w:spacing w:val="-1"/>
          <w:sz w:val="22"/>
          <w:szCs w:val="22"/>
        </w:rPr>
        <w:t>a</w:t>
      </w:r>
      <w:r w:rsidRPr="00EF7FC0">
        <w:rPr>
          <w:sz w:val="22"/>
          <w:szCs w:val="22"/>
        </w:rPr>
        <w:t>n</w:t>
      </w:r>
      <w:r w:rsidRPr="00EF7FC0">
        <w:rPr>
          <w:sz w:val="22"/>
          <w:szCs w:val="22"/>
          <w:lang w:val="id-ID"/>
        </w:rPr>
        <w:t xml:space="preserve"> </w:t>
      </w:r>
      <w:r w:rsidRPr="00EF7FC0">
        <w:rPr>
          <w:sz w:val="22"/>
          <w:szCs w:val="22"/>
        </w:rPr>
        <w:t>o</w:t>
      </w:r>
      <w:r w:rsidRPr="00EF7FC0">
        <w:rPr>
          <w:spacing w:val="1"/>
          <w:sz w:val="22"/>
          <w:szCs w:val="22"/>
        </w:rPr>
        <w:t>l</w:t>
      </w:r>
      <w:r w:rsidRPr="00EF7FC0">
        <w:rPr>
          <w:spacing w:val="-1"/>
          <w:sz w:val="22"/>
          <w:szCs w:val="22"/>
        </w:rPr>
        <w:t>e</w:t>
      </w:r>
      <w:r w:rsidRPr="00EF7FC0">
        <w:rPr>
          <w:sz w:val="22"/>
          <w:szCs w:val="22"/>
        </w:rPr>
        <w:t>h</w:t>
      </w:r>
      <w:r w:rsidRPr="00EF7FC0">
        <w:rPr>
          <w:sz w:val="22"/>
          <w:szCs w:val="22"/>
          <w:lang w:val="id-ID"/>
        </w:rPr>
        <w:t xml:space="preserve"> </w:t>
      </w:r>
      <w:r w:rsidRPr="00EF7FC0">
        <w:rPr>
          <w:spacing w:val="1"/>
          <w:sz w:val="22"/>
          <w:szCs w:val="22"/>
        </w:rPr>
        <w:t>R</w:t>
      </w:r>
      <w:r w:rsidRPr="00EF7FC0">
        <w:rPr>
          <w:sz w:val="22"/>
          <w:szCs w:val="22"/>
        </w:rPr>
        <w:t>AND</w:t>
      </w:r>
      <w:r w:rsidRPr="00EF7FC0">
        <w:rPr>
          <w:sz w:val="22"/>
          <w:szCs w:val="22"/>
          <w:lang w:val="id-ID"/>
        </w:rPr>
        <w:t xml:space="preserve"> </w:t>
      </w:r>
      <w:r w:rsidRPr="00EF7FC0">
        <w:rPr>
          <w:sz w:val="22"/>
          <w:szCs w:val="22"/>
        </w:rPr>
        <w:t>d</w:t>
      </w:r>
      <w:r w:rsidRPr="00EF7FC0">
        <w:rPr>
          <w:spacing w:val="-1"/>
          <w:sz w:val="22"/>
          <w:szCs w:val="22"/>
        </w:rPr>
        <w:t>a</w:t>
      </w:r>
      <w:r w:rsidRPr="00EF7FC0">
        <w:rPr>
          <w:sz w:val="22"/>
          <w:szCs w:val="22"/>
        </w:rPr>
        <w:t>n</w:t>
      </w:r>
      <w:r w:rsidRPr="00EF7FC0">
        <w:rPr>
          <w:sz w:val="22"/>
          <w:szCs w:val="22"/>
          <w:lang w:val="id-ID"/>
        </w:rPr>
        <w:t xml:space="preserve"> </w:t>
      </w:r>
      <w:r w:rsidRPr="00EF7FC0">
        <w:rPr>
          <w:sz w:val="22"/>
          <w:szCs w:val="22"/>
        </w:rPr>
        <w:t>d</w:t>
      </w:r>
      <w:r w:rsidRPr="00EF7FC0">
        <w:rPr>
          <w:spacing w:val="1"/>
          <w:sz w:val="22"/>
          <w:szCs w:val="22"/>
        </w:rPr>
        <w:t>it</w:t>
      </w:r>
      <w:r w:rsidRPr="00EF7FC0">
        <w:rPr>
          <w:spacing w:val="-1"/>
          <w:sz w:val="22"/>
          <w:szCs w:val="22"/>
        </w:rPr>
        <w:t>ra</w:t>
      </w:r>
      <w:r w:rsidRPr="00EF7FC0">
        <w:rPr>
          <w:spacing w:val="2"/>
          <w:sz w:val="22"/>
          <w:szCs w:val="22"/>
        </w:rPr>
        <w:t>n</w:t>
      </w:r>
      <w:r w:rsidRPr="00EF7FC0">
        <w:rPr>
          <w:sz w:val="22"/>
          <w:szCs w:val="22"/>
        </w:rPr>
        <w:t>s</w:t>
      </w:r>
      <w:r w:rsidRPr="00EF7FC0">
        <w:rPr>
          <w:spacing w:val="1"/>
          <w:sz w:val="22"/>
          <w:szCs w:val="22"/>
        </w:rPr>
        <w:t>l</w:t>
      </w:r>
      <w:r w:rsidRPr="00EF7FC0">
        <w:rPr>
          <w:spacing w:val="-1"/>
          <w:sz w:val="22"/>
          <w:szCs w:val="22"/>
        </w:rPr>
        <w:t>a</w:t>
      </w:r>
      <w:r w:rsidRPr="00EF7FC0">
        <w:rPr>
          <w:sz w:val="22"/>
          <w:szCs w:val="22"/>
        </w:rPr>
        <w:t>si</w:t>
      </w:r>
      <w:r w:rsidR="008129FC" w:rsidRPr="00EF7FC0">
        <w:rPr>
          <w:sz w:val="22"/>
          <w:szCs w:val="22"/>
        </w:rPr>
        <w:t xml:space="preserve"> </w:t>
      </w:r>
      <w:r w:rsidRPr="00EF7FC0">
        <w:rPr>
          <w:sz w:val="22"/>
          <w:szCs w:val="22"/>
        </w:rPr>
        <w:t>ke v</w:t>
      </w:r>
      <w:r w:rsidRPr="00EF7FC0">
        <w:rPr>
          <w:spacing w:val="-1"/>
          <w:sz w:val="22"/>
          <w:szCs w:val="22"/>
        </w:rPr>
        <w:t>er</w:t>
      </w:r>
      <w:r w:rsidRPr="00EF7FC0">
        <w:rPr>
          <w:sz w:val="22"/>
          <w:szCs w:val="22"/>
        </w:rPr>
        <w:t>si</w:t>
      </w:r>
      <w:r w:rsidRPr="00EF7FC0">
        <w:rPr>
          <w:sz w:val="22"/>
          <w:szCs w:val="22"/>
          <w:lang w:val="id-ID"/>
        </w:rPr>
        <w:t xml:space="preserve"> </w:t>
      </w:r>
      <w:r w:rsidRPr="00EF7FC0">
        <w:rPr>
          <w:spacing w:val="-3"/>
          <w:sz w:val="22"/>
          <w:szCs w:val="22"/>
        </w:rPr>
        <w:t>I</w:t>
      </w:r>
      <w:r w:rsidRPr="00EF7FC0">
        <w:rPr>
          <w:sz w:val="22"/>
          <w:szCs w:val="22"/>
        </w:rPr>
        <w:t>ndon</w:t>
      </w:r>
      <w:r w:rsidRPr="00EF7FC0">
        <w:rPr>
          <w:spacing w:val="-1"/>
          <w:sz w:val="22"/>
          <w:szCs w:val="22"/>
        </w:rPr>
        <w:t>e</w:t>
      </w:r>
      <w:r w:rsidRPr="00EF7FC0">
        <w:rPr>
          <w:sz w:val="22"/>
          <w:szCs w:val="22"/>
        </w:rPr>
        <w:t>s</w:t>
      </w:r>
      <w:r w:rsidRPr="00EF7FC0">
        <w:rPr>
          <w:spacing w:val="1"/>
          <w:sz w:val="22"/>
          <w:szCs w:val="22"/>
        </w:rPr>
        <w:t>i</w:t>
      </w:r>
      <w:r w:rsidRPr="00EF7FC0">
        <w:rPr>
          <w:sz w:val="22"/>
          <w:szCs w:val="22"/>
        </w:rPr>
        <w:t>a o</w:t>
      </w:r>
      <w:r w:rsidRPr="00EF7FC0">
        <w:rPr>
          <w:spacing w:val="1"/>
          <w:sz w:val="22"/>
          <w:szCs w:val="22"/>
        </w:rPr>
        <w:t>l</w:t>
      </w:r>
      <w:r w:rsidRPr="00EF7FC0">
        <w:rPr>
          <w:spacing w:val="-1"/>
          <w:sz w:val="22"/>
          <w:szCs w:val="22"/>
        </w:rPr>
        <w:t>e</w:t>
      </w:r>
      <w:r w:rsidRPr="00EF7FC0">
        <w:rPr>
          <w:sz w:val="22"/>
          <w:szCs w:val="22"/>
        </w:rPr>
        <w:t>h</w:t>
      </w:r>
      <w:r w:rsidRPr="00EF7FC0">
        <w:rPr>
          <w:sz w:val="22"/>
          <w:szCs w:val="22"/>
          <w:lang w:val="id-ID"/>
        </w:rPr>
        <w:t xml:space="preserve"> </w:t>
      </w:r>
      <w:r w:rsidRPr="00EF7FC0">
        <w:rPr>
          <w:spacing w:val="1"/>
          <w:sz w:val="22"/>
          <w:szCs w:val="22"/>
        </w:rPr>
        <w:t>P</w:t>
      </w:r>
      <w:r w:rsidRPr="00EF7FC0">
        <w:rPr>
          <w:sz w:val="22"/>
          <w:szCs w:val="22"/>
        </w:rPr>
        <w:t>us</w:t>
      </w:r>
      <w:r w:rsidRPr="00EF7FC0">
        <w:rPr>
          <w:spacing w:val="-1"/>
          <w:sz w:val="22"/>
          <w:szCs w:val="22"/>
        </w:rPr>
        <w:t>a</w:t>
      </w:r>
      <w:r w:rsidRPr="00EF7FC0">
        <w:rPr>
          <w:sz w:val="22"/>
          <w:szCs w:val="22"/>
        </w:rPr>
        <w:t>t</w:t>
      </w:r>
      <w:r w:rsidRPr="00EF7FC0">
        <w:rPr>
          <w:sz w:val="22"/>
          <w:szCs w:val="22"/>
          <w:lang w:val="id-ID"/>
        </w:rPr>
        <w:t xml:space="preserve"> </w:t>
      </w:r>
      <w:r w:rsidRPr="00EF7FC0">
        <w:rPr>
          <w:spacing w:val="1"/>
          <w:sz w:val="22"/>
          <w:szCs w:val="22"/>
        </w:rPr>
        <w:t>P</w:t>
      </w:r>
      <w:r w:rsidRPr="00EF7FC0">
        <w:rPr>
          <w:spacing w:val="-1"/>
          <w:sz w:val="22"/>
          <w:szCs w:val="22"/>
        </w:rPr>
        <w:t>e</w:t>
      </w:r>
      <w:r w:rsidRPr="00EF7FC0">
        <w:rPr>
          <w:sz w:val="22"/>
          <w:szCs w:val="22"/>
        </w:rPr>
        <w:t>ng</w:t>
      </w:r>
      <w:r w:rsidRPr="00EF7FC0">
        <w:rPr>
          <w:spacing w:val="-1"/>
          <w:sz w:val="22"/>
          <w:szCs w:val="22"/>
        </w:rPr>
        <w:t>e</w:t>
      </w:r>
      <w:r w:rsidRPr="00EF7FC0">
        <w:rPr>
          <w:spacing w:val="1"/>
          <w:sz w:val="22"/>
          <w:szCs w:val="22"/>
        </w:rPr>
        <w:t>m</w:t>
      </w:r>
      <w:r w:rsidRPr="00EF7FC0">
        <w:rPr>
          <w:sz w:val="22"/>
          <w:szCs w:val="22"/>
        </w:rPr>
        <w:t>b</w:t>
      </w:r>
      <w:r w:rsidRPr="00EF7FC0">
        <w:rPr>
          <w:spacing w:val="-1"/>
          <w:sz w:val="22"/>
          <w:szCs w:val="22"/>
        </w:rPr>
        <w:t>a</w:t>
      </w:r>
      <w:r w:rsidRPr="00EF7FC0">
        <w:rPr>
          <w:spacing w:val="2"/>
          <w:sz w:val="22"/>
          <w:szCs w:val="22"/>
        </w:rPr>
        <w:t>n</w:t>
      </w:r>
      <w:r w:rsidRPr="00EF7FC0">
        <w:rPr>
          <w:spacing w:val="-2"/>
          <w:sz w:val="22"/>
          <w:szCs w:val="22"/>
        </w:rPr>
        <w:t>g</w:t>
      </w:r>
      <w:r w:rsidRPr="00EF7FC0">
        <w:rPr>
          <w:spacing w:val="-1"/>
          <w:sz w:val="22"/>
          <w:szCs w:val="22"/>
        </w:rPr>
        <w:t>a</w:t>
      </w:r>
      <w:r w:rsidRPr="00EF7FC0">
        <w:rPr>
          <w:sz w:val="22"/>
          <w:szCs w:val="22"/>
        </w:rPr>
        <w:t>n</w:t>
      </w:r>
      <w:r w:rsidRPr="00EF7FC0">
        <w:rPr>
          <w:sz w:val="22"/>
          <w:szCs w:val="22"/>
          <w:lang w:val="id-ID"/>
        </w:rPr>
        <w:t xml:space="preserve"> </w:t>
      </w:r>
      <w:r w:rsidRPr="00EF7FC0">
        <w:rPr>
          <w:spacing w:val="-2"/>
          <w:sz w:val="22"/>
          <w:szCs w:val="22"/>
        </w:rPr>
        <w:t>B</w:t>
      </w:r>
      <w:r w:rsidRPr="00EF7FC0">
        <w:rPr>
          <w:spacing w:val="-1"/>
          <w:sz w:val="22"/>
          <w:szCs w:val="22"/>
        </w:rPr>
        <w:t>a</w:t>
      </w:r>
      <w:r w:rsidRPr="00EF7FC0">
        <w:rPr>
          <w:spacing w:val="2"/>
          <w:sz w:val="22"/>
          <w:szCs w:val="22"/>
        </w:rPr>
        <w:t>ha</w:t>
      </w:r>
      <w:r w:rsidRPr="00EF7FC0">
        <w:rPr>
          <w:sz w:val="22"/>
          <w:szCs w:val="22"/>
        </w:rPr>
        <w:t>sa</w:t>
      </w:r>
      <w:r w:rsidRPr="00EF7FC0">
        <w:rPr>
          <w:sz w:val="22"/>
          <w:szCs w:val="22"/>
          <w:lang w:val="id-ID"/>
        </w:rPr>
        <w:t xml:space="preserve"> </w:t>
      </w:r>
      <w:r w:rsidRPr="00EF7FC0">
        <w:rPr>
          <w:sz w:val="22"/>
          <w:szCs w:val="22"/>
        </w:rPr>
        <w:t>UAD.</w:t>
      </w:r>
      <w:r w:rsidRPr="00EF7FC0">
        <w:rPr>
          <w:sz w:val="22"/>
          <w:szCs w:val="22"/>
          <w:lang w:val="id-ID"/>
        </w:rPr>
        <w:t xml:space="preserve"> </w:t>
      </w:r>
      <w:r w:rsidRPr="00EF7FC0">
        <w:rPr>
          <w:spacing w:val="1"/>
          <w:sz w:val="22"/>
          <w:szCs w:val="22"/>
        </w:rPr>
        <w:t>P</w:t>
      </w:r>
      <w:r w:rsidRPr="00EF7FC0">
        <w:rPr>
          <w:spacing w:val="-1"/>
          <w:sz w:val="22"/>
          <w:szCs w:val="22"/>
        </w:rPr>
        <w:t>r</w:t>
      </w:r>
      <w:r w:rsidRPr="00EF7FC0">
        <w:rPr>
          <w:sz w:val="22"/>
          <w:szCs w:val="22"/>
        </w:rPr>
        <w:t>os</w:t>
      </w:r>
      <w:r w:rsidRPr="00EF7FC0">
        <w:rPr>
          <w:spacing w:val="-1"/>
          <w:sz w:val="22"/>
          <w:szCs w:val="22"/>
        </w:rPr>
        <w:t>e</w:t>
      </w:r>
      <w:r w:rsidRPr="00EF7FC0">
        <w:rPr>
          <w:sz w:val="22"/>
          <w:szCs w:val="22"/>
        </w:rPr>
        <w:t>s</w:t>
      </w:r>
      <w:r w:rsidRPr="00EF7FC0">
        <w:rPr>
          <w:sz w:val="22"/>
          <w:szCs w:val="22"/>
          <w:lang w:val="id-ID"/>
        </w:rPr>
        <w:t xml:space="preserve"> </w:t>
      </w:r>
      <w:r w:rsidRPr="00EF7FC0">
        <w:rPr>
          <w:spacing w:val="1"/>
          <w:sz w:val="22"/>
          <w:szCs w:val="22"/>
        </w:rPr>
        <w:t>t</w:t>
      </w:r>
      <w:r w:rsidRPr="00EF7FC0">
        <w:rPr>
          <w:spacing w:val="2"/>
          <w:sz w:val="22"/>
          <w:szCs w:val="22"/>
        </w:rPr>
        <w:t>r</w:t>
      </w:r>
      <w:r w:rsidRPr="00EF7FC0">
        <w:rPr>
          <w:spacing w:val="-1"/>
          <w:sz w:val="22"/>
          <w:szCs w:val="22"/>
        </w:rPr>
        <w:t>a</w:t>
      </w:r>
      <w:r w:rsidRPr="00EF7FC0">
        <w:rPr>
          <w:sz w:val="22"/>
          <w:szCs w:val="22"/>
        </w:rPr>
        <w:t>ns</w:t>
      </w:r>
      <w:r w:rsidRPr="00EF7FC0">
        <w:rPr>
          <w:spacing w:val="1"/>
          <w:sz w:val="22"/>
          <w:szCs w:val="22"/>
        </w:rPr>
        <w:t>l</w:t>
      </w:r>
      <w:r w:rsidRPr="00EF7FC0">
        <w:rPr>
          <w:spacing w:val="2"/>
          <w:sz w:val="22"/>
          <w:szCs w:val="22"/>
        </w:rPr>
        <w:t>a</w:t>
      </w:r>
      <w:r w:rsidRPr="00EF7FC0">
        <w:rPr>
          <w:sz w:val="22"/>
          <w:szCs w:val="22"/>
        </w:rPr>
        <w:t>si</w:t>
      </w:r>
      <w:r w:rsidRPr="00EF7FC0">
        <w:rPr>
          <w:sz w:val="22"/>
          <w:szCs w:val="22"/>
          <w:lang w:val="id-ID"/>
        </w:rPr>
        <w:t xml:space="preserve"> </w:t>
      </w:r>
      <w:r w:rsidRPr="00EF7FC0">
        <w:rPr>
          <w:spacing w:val="-5"/>
          <w:sz w:val="22"/>
          <w:szCs w:val="22"/>
        </w:rPr>
        <w:t>y</w:t>
      </w:r>
      <w:r w:rsidRPr="00EF7FC0">
        <w:rPr>
          <w:spacing w:val="-1"/>
          <w:sz w:val="22"/>
          <w:szCs w:val="22"/>
        </w:rPr>
        <w:t>a</w:t>
      </w:r>
      <w:r w:rsidRPr="00EF7FC0">
        <w:rPr>
          <w:spacing w:val="2"/>
          <w:sz w:val="22"/>
          <w:szCs w:val="22"/>
        </w:rPr>
        <w:t>n</w:t>
      </w:r>
      <w:r w:rsidRPr="00EF7FC0">
        <w:rPr>
          <w:sz w:val="22"/>
          <w:szCs w:val="22"/>
        </w:rPr>
        <w:t>g d</w:t>
      </w:r>
      <w:r w:rsidRPr="00EF7FC0">
        <w:rPr>
          <w:spacing w:val="1"/>
          <w:sz w:val="22"/>
          <w:szCs w:val="22"/>
        </w:rPr>
        <w:t>il</w:t>
      </w:r>
      <w:r w:rsidRPr="00EF7FC0">
        <w:rPr>
          <w:spacing w:val="-1"/>
          <w:sz w:val="22"/>
          <w:szCs w:val="22"/>
        </w:rPr>
        <w:t>a</w:t>
      </w:r>
      <w:r w:rsidRPr="00EF7FC0">
        <w:rPr>
          <w:sz w:val="22"/>
          <w:szCs w:val="22"/>
        </w:rPr>
        <w:t>kuk</w:t>
      </w:r>
      <w:r w:rsidRPr="00EF7FC0">
        <w:rPr>
          <w:spacing w:val="-1"/>
          <w:sz w:val="22"/>
          <w:szCs w:val="22"/>
        </w:rPr>
        <w:t>a</w:t>
      </w:r>
      <w:r w:rsidRPr="00EF7FC0">
        <w:rPr>
          <w:sz w:val="22"/>
          <w:szCs w:val="22"/>
        </w:rPr>
        <w:t>n p</w:t>
      </w:r>
      <w:r w:rsidRPr="00EF7FC0">
        <w:rPr>
          <w:spacing w:val="-1"/>
          <w:sz w:val="22"/>
          <w:szCs w:val="22"/>
        </w:rPr>
        <w:t>a</w:t>
      </w:r>
      <w:r w:rsidRPr="00EF7FC0">
        <w:rPr>
          <w:sz w:val="22"/>
          <w:szCs w:val="22"/>
        </w:rPr>
        <w:t>da</w:t>
      </w:r>
      <w:r w:rsidRPr="00EF7FC0">
        <w:rPr>
          <w:sz w:val="22"/>
          <w:szCs w:val="22"/>
          <w:lang w:val="id-ID"/>
        </w:rPr>
        <w:t xml:space="preserve"> </w:t>
      </w:r>
      <w:r w:rsidRPr="00EF7FC0">
        <w:rPr>
          <w:spacing w:val="2"/>
          <w:sz w:val="22"/>
          <w:szCs w:val="22"/>
        </w:rPr>
        <w:t>p</w:t>
      </w:r>
      <w:r w:rsidRPr="00EF7FC0">
        <w:rPr>
          <w:spacing w:val="-1"/>
          <w:sz w:val="22"/>
          <w:szCs w:val="22"/>
        </w:rPr>
        <w:t>e</w:t>
      </w:r>
      <w:r w:rsidRPr="00EF7FC0">
        <w:rPr>
          <w:sz w:val="22"/>
          <w:szCs w:val="22"/>
        </w:rPr>
        <w:t>n</w:t>
      </w:r>
      <w:r w:rsidRPr="00EF7FC0">
        <w:rPr>
          <w:spacing w:val="-1"/>
          <w:sz w:val="22"/>
          <w:szCs w:val="22"/>
        </w:rPr>
        <w:t>e</w:t>
      </w:r>
      <w:r w:rsidRPr="00EF7FC0">
        <w:rPr>
          <w:spacing w:val="1"/>
          <w:sz w:val="22"/>
          <w:szCs w:val="22"/>
        </w:rPr>
        <w:t>liti</w:t>
      </w:r>
      <w:r w:rsidRPr="00EF7FC0">
        <w:rPr>
          <w:spacing w:val="-1"/>
          <w:sz w:val="22"/>
          <w:szCs w:val="22"/>
        </w:rPr>
        <w:t>a</w:t>
      </w:r>
      <w:r w:rsidRPr="00EF7FC0">
        <w:rPr>
          <w:sz w:val="22"/>
          <w:szCs w:val="22"/>
        </w:rPr>
        <w:t>n</w:t>
      </w:r>
      <w:r w:rsidRPr="00EF7FC0">
        <w:rPr>
          <w:sz w:val="22"/>
          <w:szCs w:val="22"/>
          <w:lang w:val="id-ID"/>
        </w:rPr>
        <w:t xml:space="preserve"> </w:t>
      </w:r>
      <w:r w:rsidRPr="00EF7FC0">
        <w:rPr>
          <w:spacing w:val="1"/>
          <w:sz w:val="22"/>
          <w:szCs w:val="22"/>
        </w:rPr>
        <w:t>i</w:t>
      </w:r>
      <w:r w:rsidRPr="00EF7FC0">
        <w:rPr>
          <w:sz w:val="22"/>
          <w:szCs w:val="22"/>
        </w:rPr>
        <w:t>ni</w:t>
      </w:r>
      <w:r w:rsidRPr="00EF7FC0">
        <w:rPr>
          <w:sz w:val="22"/>
          <w:szCs w:val="22"/>
          <w:lang w:val="id-ID"/>
        </w:rPr>
        <w:t xml:space="preserve"> </w:t>
      </w:r>
      <w:r w:rsidRPr="00EF7FC0">
        <w:rPr>
          <w:sz w:val="22"/>
          <w:szCs w:val="22"/>
        </w:rPr>
        <w:t>d</w:t>
      </w:r>
      <w:r w:rsidRPr="00EF7FC0">
        <w:rPr>
          <w:spacing w:val="-1"/>
          <w:sz w:val="22"/>
          <w:szCs w:val="22"/>
        </w:rPr>
        <w:t>e</w:t>
      </w:r>
      <w:r w:rsidRPr="00EF7FC0">
        <w:rPr>
          <w:sz w:val="22"/>
          <w:szCs w:val="22"/>
        </w:rPr>
        <w:t>n</w:t>
      </w:r>
      <w:r w:rsidRPr="00EF7FC0">
        <w:rPr>
          <w:spacing w:val="-2"/>
          <w:sz w:val="22"/>
          <w:szCs w:val="22"/>
        </w:rPr>
        <w:t>g</w:t>
      </w:r>
      <w:r w:rsidRPr="00EF7FC0">
        <w:rPr>
          <w:spacing w:val="-1"/>
          <w:sz w:val="22"/>
          <w:szCs w:val="22"/>
        </w:rPr>
        <w:t>a</w:t>
      </w:r>
      <w:r w:rsidRPr="00EF7FC0">
        <w:rPr>
          <w:sz w:val="22"/>
          <w:szCs w:val="22"/>
        </w:rPr>
        <w:t>n</w:t>
      </w:r>
      <w:r w:rsidRPr="00EF7FC0">
        <w:rPr>
          <w:sz w:val="22"/>
          <w:szCs w:val="22"/>
          <w:lang w:val="id-ID"/>
        </w:rPr>
        <w:t xml:space="preserve"> </w:t>
      </w:r>
      <w:r w:rsidRPr="00EF7FC0">
        <w:rPr>
          <w:i/>
          <w:spacing w:val="1"/>
          <w:sz w:val="22"/>
          <w:szCs w:val="22"/>
        </w:rPr>
        <w:t>f</w:t>
      </w:r>
      <w:r w:rsidRPr="00EF7FC0">
        <w:rPr>
          <w:i/>
          <w:sz w:val="22"/>
          <w:szCs w:val="22"/>
        </w:rPr>
        <w:t>or</w:t>
      </w:r>
      <w:r w:rsidRPr="00EF7FC0">
        <w:rPr>
          <w:i/>
          <w:spacing w:val="1"/>
          <w:sz w:val="22"/>
          <w:szCs w:val="22"/>
        </w:rPr>
        <w:t>w</w:t>
      </w:r>
      <w:r w:rsidRPr="00EF7FC0">
        <w:rPr>
          <w:i/>
          <w:sz w:val="22"/>
          <w:szCs w:val="22"/>
        </w:rPr>
        <w:t>ard,</w:t>
      </w:r>
      <w:r w:rsidRPr="00EF7FC0">
        <w:rPr>
          <w:i/>
          <w:sz w:val="22"/>
          <w:szCs w:val="22"/>
          <w:lang w:val="id-ID"/>
        </w:rPr>
        <w:t xml:space="preserve"> </w:t>
      </w:r>
      <w:r w:rsidRPr="00EF7FC0">
        <w:rPr>
          <w:spacing w:val="-2"/>
          <w:sz w:val="22"/>
          <w:szCs w:val="22"/>
        </w:rPr>
        <w:t>y</w:t>
      </w:r>
      <w:r w:rsidRPr="00EF7FC0">
        <w:rPr>
          <w:spacing w:val="-1"/>
          <w:sz w:val="22"/>
          <w:szCs w:val="22"/>
        </w:rPr>
        <w:t>a</w:t>
      </w:r>
      <w:r w:rsidRPr="00EF7FC0">
        <w:rPr>
          <w:spacing w:val="1"/>
          <w:sz w:val="22"/>
          <w:szCs w:val="22"/>
        </w:rPr>
        <w:t>it</w:t>
      </w:r>
      <w:r w:rsidRPr="00EF7FC0">
        <w:rPr>
          <w:sz w:val="22"/>
          <w:szCs w:val="22"/>
        </w:rPr>
        <w:t>u</w:t>
      </w:r>
      <w:r w:rsidRPr="00EF7FC0">
        <w:rPr>
          <w:sz w:val="22"/>
          <w:szCs w:val="22"/>
          <w:lang w:val="id-ID"/>
        </w:rPr>
        <w:t xml:space="preserve"> </w:t>
      </w:r>
      <w:r w:rsidRPr="00EF7FC0">
        <w:rPr>
          <w:sz w:val="22"/>
          <w:szCs w:val="22"/>
        </w:rPr>
        <w:t>p</w:t>
      </w:r>
      <w:r w:rsidRPr="00EF7FC0">
        <w:rPr>
          <w:spacing w:val="-1"/>
          <w:sz w:val="22"/>
          <w:szCs w:val="22"/>
        </w:rPr>
        <w:t>r</w:t>
      </w:r>
      <w:r w:rsidRPr="00EF7FC0">
        <w:rPr>
          <w:sz w:val="22"/>
          <w:szCs w:val="22"/>
        </w:rPr>
        <w:t>os</w:t>
      </w:r>
      <w:r w:rsidRPr="00EF7FC0">
        <w:rPr>
          <w:spacing w:val="-1"/>
          <w:sz w:val="22"/>
          <w:szCs w:val="22"/>
        </w:rPr>
        <w:t>e</w:t>
      </w:r>
      <w:r w:rsidRPr="00EF7FC0">
        <w:rPr>
          <w:sz w:val="22"/>
          <w:szCs w:val="22"/>
        </w:rPr>
        <w:t>s</w:t>
      </w:r>
      <w:r w:rsidRPr="00EF7FC0">
        <w:rPr>
          <w:spacing w:val="1"/>
          <w:sz w:val="22"/>
          <w:szCs w:val="22"/>
        </w:rPr>
        <w:t xml:space="preserve"> t</w:t>
      </w:r>
      <w:r w:rsidRPr="00EF7FC0">
        <w:rPr>
          <w:spacing w:val="-1"/>
          <w:sz w:val="22"/>
          <w:szCs w:val="22"/>
        </w:rPr>
        <w:t>ra</w:t>
      </w:r>
      <w:r w:rsidRPr="00EF7FC0">
        <w:rPr>
          <w:sz w:val="22"/>
          <w:szCs w:val="22"/>
        </w:rPr>
        <w:t>ns</w:t>
      </w:r>
      <w:r w:rsidRPr="00EF7FC0">
        <w:rPr>
          <w:spacing w:val="1"/>
          <w:sz w:val="22"/>
          <w:szCs w:val="22"/>
        </w:rPr>
        <w:t>l</w:t>
      </w:r>
      <w:r w:rsidRPr="00EF7FC0">
        <w:rPr>
          <w:spacing w:val="-1"/>
          <w:sz w:val="22"/>
          <w:szCs w:val="22"/>
        </w:rPr>
        <w:t>a</w:t>
      </w:r>
      <w:r w:rsidRPr="00EF7FC0">
        <w:rPr>
          <w:sz w:val="22"/>
          <w:szCs w:val="22"/>
        </w:rPr>
        <w:t>si</w:t>
      </w:r>
      <w:r w:rsidRPr="00EF7FC0">
        <w:rPr>
          <w:sz w:val="22"/>
          <w:szCs w:val="22"/>
          <w:lang w:val="id-ID"/>
        </w:rPr>
        <w:t xml:space="preserve"> </w:t>
      </w:r>
      <w:r w:rsidRPr="00EF7FC0">
        <w:rPr>
          <w:sz w:val="22"/>
          <w:szCs w:val="22"/>
        </w:rPr>
        <w:t>d</w:t>
      </w:r>
      <w:r w:rsidRPr="00EF7FC0">
        <w:rPr>
          <w:spacing w:val="-1"/>
          <w:sz w:val="22"/>
          <w:szCs w:val="22"/>
        </w:rPr>
        <w:t>a</w:t>
      </w:r>
      <w:r w:rsidRPr="00EF7FC0">
        <w:rPr>
          <w:spacing w:val="2"/>
          <w:sz w:val="22"/>
          <w:szCs w:val="22"/>
        </w:rPr>
        <w:t>r</w:t>
      </w:r>
      <w:r w:rsidRPr="00EF7FC0">
        <w:rPr>
          <w:sz w:val="22"/>
          <w:szCs w:val="22"/>
        </w:rPr>
        <w:t>i</w:t>
      </w:r>
      <w:r w:rsidRPr="00EF7FC0">
        <w:rPr>
          <w:sz w:val="22"/>
          <w:szCs w:val="22"/>
          <w:lang w:val="id-ID"/>
        </w:rPr>
        <w:t xml:space="preserve"> </w:t>
      </w:r>
      <w:r w:rsidRPr="00EF7FC0">
        <w:rPr>
          <w:sz w:val="22"/>
          <w:szCs w:val="22"/>
        </w:rPr>
        <w:t>v</w:t>
      </w:r>
      <w:r w:rsidRPr="00EF7FC0">
        <w:rPr>
          <w:spacing w:val="-1"/>
          <w:sz w:val="22"/>
          <w:szCs w:val="22"/>
        </w:rPr>
        <w:t>er</w:t>
      </w:r>
      <w:r w:rsidRPr="00EF7FC0">
        <w:rPr>
          <w:sz w:val="22"/>
          <w:szCs w:val="22"/>
        </w:rPr>
        <w:t xml:space="preserve">si </w:t>
      </w:r>
      <w:r w:rsidRPr="00EF7FC0">
        <w:rPr>
          <w:spacing w:val="-2"/>
          <w:sz w:val="22"/>
          <w:szCs w:val="22"/>
        </w:rPr>
        <w:t>B</w:t>
      </w:r>
      <w:r w:rsidRPr="00EF7FC0">
        <w:rPr>
          <w:spacing w:val="-1"/>
          <w:sz w:val="22"/>
          <w:szCs w:val="22"/>
        </w:rPr>
        <w:t>a</w:t>
      </w:r>
      <w:r w:rsidRPr="00EF7FC0">
        <w:rPr>
          <w:sz w:val="22"/>
          <w:szCs w:val="22"/>
        </w:rPr>
        <w:t>h</w:t>
      </w:r>
      <w:r w:rsidRPr="00EF7FC0">
        <w:rPr>
          <w:spacing w:val="-1"/>
          <w:sz w:val="22"/>
          <w:szCs w:val="22"/>
        </w:rPr>
        <w:t>a</w:t>
      </w:r>
      <w:r w:rsidRPr="00EF7FC0">
        <w:rPr>
          <w:spacing w:val="3"/>
          <w:sz w:val="22"/>
          <w:szCs w:val="22"/>
        </w:rPr>
        <w:t>s</w:t>
      </w:r>
      <w:r w:rsidRPr="00EF7FC0">
        <w:rPr>
          <w:sz w:val="22"/>
          <w:szCs w:val="22"/>
        </w:rPr>
        <w:t xml:space="preserve">a </w:t>
      </w:r>
      <w:r w:rsidRPr="00EF7FC0">
        <w:rPr>
          <w:spacing w:val="-3"/>
          <w:sz w:val="22"/>
          <w:szCs w:val="22"/>
        </w:rPr>
        <w:t>I</w:t>
      </w:r>
      <w:r w:rsidRPr="00EF7FC0">
        <w:rPr>
          <w:spacing w:val="2"/>
          <w:sz w:val="22"/>
          <w:szCs w:val="22"/>
        </w:rPr>
        <w:t>n</w:t>
      </w:r>
      <w:r w:rsidRPr="00EF7FC0">
        <w:rPr>
          <w:sz w:val="22"/>
          <w:szCs w:val="22"/>
        </w:rPr>
        <w:t>g</w:t>
      </w:r>
      <w:r w:rsidRPr="00EF7FC0">
        <w:rPr>
          <w:spacing w:val="-2"/>
          <w:sz w:val="22"/>
          <w:szCs w:val="22"/>
        </w:rPr>
        <w:t>g</w:t>
      </w:r>
      <w:r w:rsidRPr="00EF7FC0">
        <w:rPr>
          <w:spacing w:val="-1"/>
          <w:sz w:val="22"/>
          <w:szCs w:val="22"/>
        </w:rPr>
        <w:t>r</w:t>
      </w:r>
      <w:r w:rsidRPr="00EF7FC0">
        <w:rPr>
          <w:spacing w:val="1"/>
          <w:sz w:val="22"/>
          <w:szCs w:val="22"/>
        </w:rPr>
        <w:t>i</w:t>
      </w:r>
      <w:r w:rsidRPr="00EF7FC0">
        <w:rPr>
          <w:sz w:val="22"/>
          <w:szCs w:val="22"/>
        </w:rPr>
        <w:t>s</w:t>
      </w:r>
      <w:r w:rsidRPr="00EF7FC0">
        <w:rPr>
          <w:sz w:val="22"/>
          <w:szCs w:val="22"/>
          <w:lang w:val="id-ID"/>
        </w:rPr>
        <w:t xml:space="preserve"> </w:t>
      </w:r>
      <w:r w:rsidRPr="00EF7FC0">
        <w:rPr>
          <w:spacing w:val="2"/>
          <w:sz w:val="22"/>
          <w:szCs w:val="22"/>
        </w:rPr>
        <w:t>k</w:t>
      </w:r>
      <w:r w:rsidRPr="00EF7FC0">
        <w:rPr>
          <w:sz w:val="22"/>
          <w:szCs w:val="22"/>
        </w:rPr>
        <w:t>e</w:t>
      </w:r>
      <w:r w:rsidRPr="00EF7FC0">
        <w:rPr>
          <w:sz w:val="22"/>
          <w:szCs w:val="22"/>
          <w:lang w:val="id-ID"/>
        </w:rPr>
        <w:t xml:space="preserve"> </w:t>
      </w:r>
      <w:r w:rsidRPr="00EF7FC0">
        <w:rPr>
          <w:sz w:val="22"/>
          <w:szCs w:val="22"/>
        </w:rPr>
        <w:t>v</w:t>
      </w:r>
      <w:r w:rsidRPr="00EF7FC0">
        <w:rPr>
          <w:spacing w:val="-1"/>
          <w:sz w:val="22"/>
          <w:szCs w:val="22"/>
        </w:rPr>
        <w:t>er</w:t>
      </w:r>
      <w:r w:rsidRPr="00EF7FC0">
        <w:rPr>
          <w:sz w:val="22"/>
          <w:szCs w:val="22"/>
        </w:rPr>
        <w:t xml:space="preserve">si </w:t>
      </w:r>
      <w:r w:rsidRPr="00EF7FC0">
        <w:rPr>
          <w:spacing w:val="-2"/>
          <w:sz w:val="22"/>
          <w:szCs w:val="22"/>
        </w:rPr>
        <w:t>B</w:t>
      </w:r>
      <w:r w:rsidRPr="00EF7FC0">
        <w:rPr>
          <w:spacing w:val="-1"/>
          <w:sz w:val="22"/>
          <w:szCs w:val="22"/>
        </w:rPr>
        <w:t>a</w:t>
      </w:r>
      <w:r w:rsidRPr="00EF7FC0">
        <w:rPr>
          <w:sz w:val="22"/>
          <w:szCs w:val="22"/>
        </w:rPr>
        <w:t>h</w:t>
      </w:r>
      <w:r w:rsidRPr="00EF7FC0">
        <w:rPr>
          <w:spacing w:val="-1"/>
          <w:sz w:val="22"/>
          <w:szCs w:val="22"/>
        </w:rPr>
        <w:t>a</w:t>
      </w:r>
      <w:r w:rsidRPr="00EF7FC0">
        <w:rPr>
          <w:spacing w:val="3"/>
          <w:sz w:val="22"/>
          <w:szCs w:val="22"/>
        </w:rPr>
        <w:t>s</w:t>
      </w:r>
      <w:r w:rsidRPr="00EF7FC0">
        <w:rPr>
          <w:sz w:val="22"/>
          <w:szCs w:val="22"/>
        </w:rPr>
        <w:t xml:space="preserve">a </w:t>
      </w:r>
      <w:r w:rsidRPr="00EF7FC0">
        <w:rPr>
          <w:spacing w:val="-3"/>
          <w:sz w:val="22"/>
          <w:szCs w:val="22"/>
        </w:rPr>
        <w:t>I</w:t>
      </w:r>
      <w:r w:rsidRPr="00EF7FC0">
        <w:rPr>
          <w:sz w:val="22"/>
          <w:szCs w:val="22"/>
        </w:rPr>
        <w:t>ndo</w:t>
      </w:r>
      <w:r w:rsidRPr="00EF7FC0">
        <w:rPr>
          <w:spacing w:val="2"/>
          <w:sz w:val="22"/>
          <w:szCs w:val="22"/>
        </w:rPr>
        <w:t>n</w:t>
      </w:r>
      <w:r w:rsidRPr="00EF7FC0">
        <w:rPr>
          <w:spacing w:val="-1"/>
          <w:sz w:val="22"/>
          <w:szCs w:val="22"/>
        </w:rPr>
        <w:t>e</w:t>
      </w:r>
      <w:r w:rsidRPr="00EF7FC0">
        <w:rPr>
          <w:sz w:val="22"/>
          <w:szCs w:val="22"/>
        </w:rPr>
        <w:t>s</w:t>
      </w:r>
      <w:r w:rsidRPr="00EF7FC0">
        <w:rPr>
          <w:spacing w:val="1"/>
          <w:sz w:val="22"/>
          <w:szCs w:val="22"/>
        </w:rPr>
        <w:t>i</w:t>
      </w:r>
      <w:r w:rsidRPr="00EF7FC0">
        <w:rPr>
          <w:sz w:val="22"/>
          <w:szCs w:val="22"/>
        </w:rPr>
        <w:t>a</w:t>
      </w:r>
      <w:r w:rsidRPr="00EF7FC0">
        <w:rPr>
          <w:sz w:val="22"/>
          <w:szCs w:val="22"/>
          <w:lang w:val="id-ID"/>
        </w:rPr>
        <w:t xml:space="preserve"> </w:t>
      </w:r>
      <w:r w:rsidRPr="00EF7FC0">
        <w:rPr>
          <w:spacing w:val="-5"/>
          <w:sz w:val="22"/>
          <w:szCs w:val="22"/>
        </w:rPr>
        <w:t>y</w:t>
      </w:r>
      <w:r w:rsidRPr="00EF7FC0">
        <w:rPr>
          <w:spacing w:val="-1"/>
          <w:sz w:val="22"/>
          <w:szCs w:val="22"/>
        </w:rPr>
        <w:t>a</w:t>
      </w:r>
      <w:r w:rsidRPr="00EF7FC0">
        <w:rPr>
          <w:spacing w:val="2"/>
          <w:sz w:val="22"/>
          <w:szCs w:val="22"/>
        </w:rPr>
        <w:t>n</w:t>
      </w:r>
      <w:r w:rsidRPr="00EF7FC0">
        <w:rPr>
          <w:sz w:val="22"/>
          <w:szCs w:val="22"/>
        </w:rPr>
        <w:t>g</w:t>
      </w:r>
      <w:r w:rsidRPr="00EF7FC0">
        <w:rPr>
          <w:sz w:val="22"/>
          <w:szCs w:val="22"/>
          <w:lang w:val="id-ID"/>
        </w:rPr>
        <w:t xml:space="preserve"> </w:t>
      </w:r>
      <w:r w:rsidRPr="00EF7FC0">
        <w:rPr>
          <w:spacing w:val="2"/>
          <w:sz w:val="22"/>
          <w:szCs w:val="22"/>
        </w:rPr>
        <w:t>d</w:t>
      </w:r>
      <w:r w:rsidRPr="00EF7FC0">
        <w:rPr>
          <w:spacing w:val="1"/>
          <w:sz w:val="22"/>
          <w:szCs w:val="22"/>
        </w:rPr>
        <w:t>il</w:t>
      </w:r>
      <w:r w:rsidRPr="00EF7FC0">
        <w:rPr>
          <w:spacing w:val="-1"/>
          <w:sz w:val="22"/>
          <w:szCs w:val="22"/>
        </w:rPr>
        <w:t>a</w:t>
      </w:r>
      <w:r w:rsidRPr="00EF7FC0">
        <w:rPr>
          <w:sz w:val="22"/>
          <w:szCs w:val="22"/>
        </w:rPr>
        <w:t>kuk</w:t>
      </w:r>
      <w:r w:rsidRPr="00EF7FC0">
        <w:rPr>
          <w:spacing w:val="-1"/>
          <w:sz w:val="22"/>
          <w:szCs w:val="22"/>
        </w:rPr>
        <w:t>a</w:t>
      </w:r>
      <w:r w:rsidRPr="00EF7FC0">
        <w:rPr>
          <w:sz w:val="22"/>
          <w:szCs w:val="22"/>
        </w:rPr>
        <w:t>n</w:t>
      </w:r>
      <w:r w:rsidRPr="00EF7FC0">
        <w:rPr>
          <w:sz w:val="22"/>
          <w:szCs w:val="22"/>
          <w:lang w:val="id-ID"/>
        </w:rPr>
        <w:t xml:space="preserve"> </w:t>
      </w:r>
      <w:r w:rsidRPr="00EF7FC0">
        <w:rPr>
          <w:sz w:val="22"/>
          <w:szCs w:val="22"/>
        </w:rPr>
        <w:t>o</w:t>
      </w:r>
      <w:r w:rsidRPr="00EF7FC0">
        <w:rPr>
          <w:spacing w:val="1"/>
          <w:sz w:val="22"/>
          <w:szCs w:val="22"/>
        </w:rPr>
        <w:t>l</w:t>
      </w:r>
      <w:r w:rsidRPr="00EF7FC0">
        <w:rPr>
          <w:spacing w:val="-1"/>
          <w:sz w:val="22"/>
          <w:szCs w:val="22"/>
        </w:rPr>
        <w:t>e</w:t>
      </w:r>
      <w:r w:rsidRPr="00EF7FC0">
        <w:rPr>
          <w:sz w:val="22"/>
          <w:szCs w:val="22"/>
        </w:rPr>
        <w:t>h</w:t>
      </w:r>
      <w:r w:rsidRPr="00EF7FC0">
        <w:rPr>
          <w:sz w:val="22"/>
          <w:szCs w:val="22"/>
          <w:lang w:val="id-ID"/>
        </w:rPr>
        <w:t xml:space="preserve"> </w:t>
      </w:r>
      <w:r w:rsidRPr="00EF7FC0">
        <w:rPr>
          <w:sz w:val="22"/>
          <w:szCs w:val="22"/>
        </w:rPr>
        <w:t>s</w:t>
      </w:r>
      <w:r w:rsidRPr="00EF7FC0">
        <w:rPr>
          <w:spacing w:val="-1"/>
          <w:sz w:val="22"/>
          <w:szCs w:val="22"/>
        </w:rPr>
        <w:t>a</w:t>
      </w:r>
      <w:r w:rsidRPr="00EF7FC0">
        <w:rPr>
          <w:spacing w:val="1"/>
          <w:sz w:val="22"/>
          <w:szCs w:val="22"/>
        </w:rPr>
        <w:t>t</w:t>
      </w:r>
      <w:r w:rsidRPr="00EF7FC0">
        <w:rPr>
          <w:sz w:val="22"/>
          <w:szCs w:val="22"/>
        </w:rPr>
        <w:t>u</w:t>
      </w:r>
      <w:r w:rsidRPr="00EF7FC0">
        <w:rPr>
          <w:sz w:val="22"/>
          <w:szCs w:val="22"/>
          <w:lang w:val="id-ID"/>
        </w:rPr>
        <w:t xml:space="preserve"> </w:t>
      </w:r>
      <w:r w:rsidRPr="00EF7FC0">
        <w:rPr>
          <w:spacing w:val="1"/>
          <w:sz w:val="22"/>
          <w:szCs w:val="22"/>
        </w:rPr>
        <w:t>t</w:t>
      </w:r>
      <w:r w:rsidRPr="00EF7FC0">
        <w:rPr>
          <w:spacing w:val="-1"/>
          <w:sz w:val="22"/>
          <w:szCs w:val="22"/>
        </w:rPr>
        <w:t>ra</w:t>
      </w:r>
      <w:r w:rsidRPr="00EF7FC0">
        <w:rPr>
          <w:sz w:val="22"/>
          <w:szCs w:val="22"/>
        </w:rPr>
        <w:t>ns</w:t>
      </w:r>
      <w:r w:rsidRPr="00EF7FC0">
        <w:rPr>
          <w:spacing w:val="1"/>
          <w:sz w:val="22"/>
          <w:szCs w:val="22"/>
        </w:rPr>
        <w:t>l</w:t>
      </w:r>
      <w:r w:rsidRPr="00EF7FC0">
        <w:rPr>
          <w:spacing w:val="2"/>
          <w:sz w:val="22"/>
          <w:szCs w:val="22"/>
        </w:rPr>
        <w:t>a</w:t>
      </w:r>
      <w:r w:rsidRPr="00EF7FC0">
        <w:rPr>
          <w:spacing w:val="1"/>
          <w:sz w:val="22"/>
          <w:szCs w:val="22"/>
        </w:rPr>
        <w:t>t</w:t>
      </w:r>
      <w:r w:rsidRPr="00EF7FC0">
        <w:rPr>
          <w:sz w:val="22"/>
          <w:szCs w:val="22"/>
        </w:rPr>
        <w:t>o</w:t>
      </w:r>
      <w:r w:rsidRPr="00EF7FC0">
        <w:rPr>
          <w:spacing w:val="-1"/>
          <w:sz w:val="22"/>
          <w:szCs w:val="22"/>
        </w:rPr>
        <w:t>r</w:t>
      </w:r>
      <w:r w:rsidRPr="00EF7FC0">
        <w:rPr>
          <w:sz w:val="22"/>
          <w:szCs w:val="22"/>
        </w:rPr>
        <w:t>.</w:t>
      </w:r>
    </w:p>
    <w:p w:rsidR="006459CF" w:rsidRPr="00EF7FC0" w:rsidRDefault="00F8402B" w:rsidP="00F8402B">
      <w:pPr>
        <w:spacing w:after="240"/>
        <w:ind w:firstLine="360"/>
        <w:jc w:val="both"/>
        <w:rPr>
          <w:b/>
          <w:i/>
          <w:sz w:val="22"/>
          <w:szCs w:val="22"/>
        </w:rPr>
      </w:pPr>
      <w:r w:rsidRPr="00EF7FC0">
        <w:rPr>
          <w:sz w:val="22"/>
          <w:szCs w:val="22"/>
        </w:rPr>
        <w:t>Seluruh lembar data Hb,</w:t>
      </w:r>
      <w:r w:rsidR="00CC56AE" w:rsidRPr="00EF7FC0">
        <w:rPr>
          <w:sz w:val="22"/>
          <w:szCs w:val="22"/>
        </w:rPr>
        <w:t xml:space="preserve"> </w:t>
      </w:r>
      <w:r w:rsidRPr="00EF7FC0">
        <w:rPr>
          <w:sz w:val="22"/>
          <w:szCs w:val="22"/>
        </w:rPr>
        <w:t>MCH,</w:t>
      </w:r>
      <w:r w:rsidR="00CC56AE" w:rsidRPr="00EF7FC0">
        <w:rPr>
          <w:sz w:val="22"/>
          <w:szCs w:val="22"/>
        </w:rPr>
        <w:t xml:space="preserve"> </w:t>
      </w:r>
      <w:r w:rsidRPr="00EF7FC0">
        <w:rPr>
          <w:sz w:val="22"/>
          <w:szCs w:val="22"/>
        </w:rPr>
        <w:t>MCV,</w:t>
      </w:r>
      <w:r w:rsidR="00CC56AE" w:rsidRPr="00EF7FC0">
        <w:rPr>
          <w:sz w:val="22"/>
          <w:szCs w:val="22"/>
        </w:rPr>
        <w:t xml:space="preserve"> </w:t>
      </w:r>
      <w:r w:rsidRPr="00EF7FC0">
        <w:rPr>
          <w:sz w:val="22"/>
          <w:szCs w:val="22"/>
        </w:rPr>
        <w:t xml:space="preserve">MCHC dan kualitas </w:t>
      </w:r>
      <w:r w:rsidR="008129FC" w:rsidRPr="00EF7FC0">
        <w:rPr>
          <w:sz w:val="22"/>
          <w:szCs w:val="22"/>
        </w:rPr>
        <w:t xml:space="preserve">hidup </w:t>
      </w:r>
      <w:r w:rsidRPr="00EF7FC0">
        <w:rPr>
          <w:sz w:val="22"/>
          <w:szCs w:val="22"/>
        </w:rPr>
        <w:t xml:space="preserve">pada pasien ginjal kronis yang menjalani hemodialisa dan mendapatkan eritropoetin dan terapi lainnya di lakukan </w:t>
      </w:r>
      <w:r w:rsidRPr="00EF7FC0">
        <w:rPr>
          <w:sz w:val="22"/>
          <w:szCs w:val="22"/>
          <w:lang w:eastAsia="id-ID"/>
        </w:rPr>
        <w:t>uji T/T test untuk melihat perbandingannya.</w:t>
      </w:r>
      <w:r w:rsidR="00CC56AE" w:rsidRPr="00EF7FC0">
        <w:rPr>
          <w:sz w:val="22"/>
          <w:szCs w:val="22"/>
          <w:lang w:eastAsia="id-ID"/>
        </w:rPr>
        <w:t xml:space="preserve"> </w:t>
      </w:r>
      <w:proofErr w:type="gramStart"/>
      <w:r w:rsidR="006459CF" w:rsidRPr="00EF7FC0">
        <w:rPr>
          <w:sz w:val="22"/>
          <w:szCs w:val="22"/>
        </w:rPr>
        <w:t>Metode</w:t>
      </w:r>
      <w:r w:rsidR="00CC56AE" w:rsidRPr="00EF7FC0">
        <w:rPr>
          <w:sz w:val="22"/>
          <w:szCs w:val="22"/>
        </w:rPr>
        <w:t xml:space="preserve"> </w:t>
      </w:r>
      <w:r w:rsidR="006459CF" w:rsidRPr="00EF7FC0">
        <w:rPr>
          <w:sz w:val="22"/>
          <w:szCs w:val="22"/>
        </w:rPr>
        <w:t>penelitian menjelaskan rancangan kegiatan, ruang lingkup atau objek, bahan dan alat utama, tempat, teknik pengumpulan data, definisi operasional variabel penelitian, dan teknik analisis.</w:t>
      </w:r>
      <w:proofErr w:type="gramEnd"/>
      <w:r w:rsidR="006459CF" w:rsidRPr="00EF7FC0">
        <w:rPr>
          <w:sz w:val="22"/>
          <w:szCs w:val="22"/>
        </w:rPr>
        <w:t xml:space="preserve"> </w:t>
      </w:r>
    </w:p>
    <w:p w:rsidR="00D73172" w:rsidRPr="00EF7FC0" w:rsidRDefault="00D73172" w:rsidP="00F8402B">
      <w:pPr>
        <w:pStyle w:val="Heading1"/>
        <w:numPr>
          <w:ilvl w:val="0"/>
          <w:numId w:val="8"/>
        </w:numPr>
        <w:suppressAutoHyphens/>
        <w:spacing w:after="60"/>
        <w:ind w:left="270" w:hanging="270"/>
        <w:rPr>
          <w:i w:val="0"/>
          <w:sz w:val="22"/>
          <w:szCs w:val="22"/>
        </w:rPr>
      </w:pPr>
      <w:r w:rsidRPr="00EF7FC0">
        <w:rPr>
          <w:i w:val="0"/>
          <w:sz w:val="22"/>
          <w:szCs w:val="22"/>
        </w:rPr>
        <w:t>HASIL DAN PEMBAHASAN</w:t>
      </w:r>
    </w:p>
    <w:p w:rsidR="008129FC" w:rsidRPr="00EF7FC0" w:rsidRDefault="008129FC" w:rsidP="008129FC">
      <w:pPr>
        <w:pStyle w:val="ListParagraph"/>
        <w:numPr>
          <w:ilvl w:val="0"/>
          <w:numId w:val="10"/>
        </w:numPr>
        <w:ind w:left="270" w:hanging="270"/>
        <w:rPr>
          <w:sz w:val="22"/>
          <w:szCs w:val="22"/>
        </w:rPr>
      </w:pPr>
      <w:bookmarkStart w:id="0" w:name="_Toc492984449"/>
      <w:r w:rsidRPr="00EF7FC0">
        <w:rPr>
          <w:sz w:val="22"/>
          <w:szCs w:val="22"/>
        </w:rPr>
        <w:t>Profil H</w:t>
      </w:r>
      <w:r w:rsidR="00AA733C" w:rsidRPr="00EF7FC0">
        <w:rPr>
          <w:sz w:val="22"/>
          <w:szCs w:val="22"/>
        </w:rPr>
        <w:t>b</w:t>
      </w:r>
      <w:r w:rsidRPr="00EF7FC0">
        <w:rPr>
          <w:sz w:val="22"/>
          <w:szCs w:val="22"/>
        </w:rPr>
        <w:t>, MCV, MCH &amp; MCHC</w:t>
      </w:r>
      <w:bookmarkEnd w:id="0"/>
    </w:p>
    <w:p w:rsidR="008129FC" w:rsidRPr="00EF7FC0" w:rsidRDefault="008129FC" w:rsidP="00CC56AE">
      <w:pPr>
        <w:ind w:left="270" w:firstLine="450"/>
        <w:jc w:val="both"/>
        <w:rPr>
          <w:sz w:val="22"/>
          <w:szCs w:val="22"/>
        </w:rPr>
      </w:pPr>
      <w:proofErr w:type="gramStart"/>
      <w:r w:rsidRPr="00EF7FC0">
        <w:rPr>
          <w:sz w:val="22"/>
          <w:szCs w:val="22"/>
        </w:rPr>
        <w:t xml:space="preserve">Berdasarkan uji normalitas </w:t>
      </w:r>
      <w:r w:rsidR="00710524" w:rsidRPr="00EF7FC0">
        <w:rPr>
          <w:sz w:val="22"/>
          <w:szCs w:val="22"/>
        </w:rPr>
        <w:t xml:space="preserve">didapatkan hasil bahwa </w:t>
      </w:r>
      <w:r w:rsidRPr="00EF7FC0">
        <w:rPr>
          <w:sz w:val="22"/>
          <w:szCs w:val="22"/>
        </w:rPr>
        <w:t xml:space="preserve">data </w:t>
      </w:r>
      <w:r w:rsidR="00710524" w:rsidRPr="00EF7FC0">
        <w:rPr>
          <w:sz w:val="22"/>
          <w:szCs w:val="22"/>
        </w:rPr>
        <w:t>Hb</w:t>
      </w:r>
      <w:r w:rsidRPr="00EF7FC0">
        <w:rPr>
          <w:sz w:val="22"/>
          <w:szCs w:val="22"/>
        </w:rPr>
        <w:t>, MCV, MCH, dan MCHC terdistribusi normal.</w:t>
      </w:r>
      <w:proofErr w:type="gramEnd"/>
      <w:r w:rsidRPr="00EF7FC0">
        <w:rPr>
          <w:sz w:val="22"/>
          <w:szCs w:val="22"/>
        </w:rPr>
        <w:t xml:space="preserve"> </w:t>
      </w:r>
      <w:proofErr w:type="gramStart"/>
      <w:r w:rsidR="00710524" w:rsidRPr="00EF7FC0">
        <w:rPr>
          <w:sz w:val="22"/>
          <w:szCs w:val="22"/>
        </w:rPr>
        <w:t>U</w:t>
      </w:r>
      <w:r w:rsidRPr="00EF7FC0">
        <w:rPr>
          <w:sz w:val="22"/>
          <w:szCs w:val="22"/>
        </w:rPr>
        <w:t>ji homogenitas keseluruhan varabel menunjukkan nilai P value &gt; 0,005</w:t>
      </w:r>
      <w:r w:rsidR="0016198A" w:rsidRPr="00EF7FC0">
        <w:rPr>
          <w:sz w:val="22"/>
          <w:szCs w:val="22"/>
        </w:rPr>
        <w:t>.</w:t>
      </w:r>
      <w:proofErr w:type="gramEnd"/>
    </w:p>
    <w:p w:rsidR="00CC56AE" w:rsidRPr="00EF7FC0" w:rsidRDefault="00CC56AE" w:rsidP="00CC56AE">
      <w:pPr>
        <w:ind w:left="270" w:firstLine="450"/>
        <w:jc w:val="both"/>
        <w:rPr>
          <w:sz w:val="22"/>
          <w:szCs w:val="22"/>
        </w:rPr>
      </w:pPr>
    </w:p>
    <w:p w:rsidR="00AA733C" w:rsidRPr="00EF7FC0" w:rsidRDefault="00AA733C" w:rsidP="00AA733C">
      <w:pPr>
        <w:pStyle w:val="Caption"/>
        <w:keepNext/>
        <w:spacing w:after="120"/>
        <w:jc w:val="center"/>
        <w:rPr>
          <w:rFonts w:ascii="Times New Roman" w:hAnsi="Times New Roman" w:cs="Times New Roman"/>
          <w:b w:val="0"/>
          <w:color w:val="auto"/>
          <w:sz w:val="22"/>
          <w:szCs w:val="22"/>
          <w:lang w:val="en-US"/>
        </w:rPr>
      </w:pPr>
      <w:r w:rsidRPr="00EF7FC0">
        <w:rPr>
          <w:rFonts w:ascii="Times New Roman" w:hAnsi="Times New Roman" w:cs="Times New Roman"/>
          <w:b w:val="0"/>
          <w:color w:val="auto"/>
          <w:sz w:val="22"/>
          <w:szCs w:val="22"/>
        </w:rPr>
        <w:t>Tabel</w:t>
      </w:r>
      <w:r w:rsidRPr="00EF7FC0">
        <w:rPr>
          <w:rFonts w:ascii="Times New Roman" w:hAnsi="Times New Roman" w:cs="Times New Roman"/>
          <w:b w:val="0"/>
          <w:color w:val="auto"/>
          <w:sz w:val="22"/>
          <w:szCs w:val="22"/>
          <w:lang w:val="en-US"/>
        </w:rPr>
        <w:t xml:space="preserve"> I Uji Normalitas dan Homogenitas</w:t>
      </w:r>
    </w:p>
    <w:tbl>
      <w:tblPr>
        <w:tblStyle w:val="TableGrid"/>
        <w:tblW w:w="4073" w:type="dxa"/>
        <w:tblInd w:w="288" w:type="dxa"/>
        <w:tblLook w:val="04A0"/>
      </w:tblPr>
      <w:tblGrid>
        <w:gridCol w:w="500"/>
        <w:gridCol w:w="688"/>
        <w:gridCol w:w="1196"/>
        <w:gridCol w:w="766"/>
        <w:gridCol w:w="923"/>
      </w:tblGrid>
      <w:tr w:rsidR="00EF7FC0" w:rsidRPr="00EF7FC0" w:rsidTr="00B67C68">
        <w:tc>
          <w:tcPr>
            <w:tcW w:w="500" w:type="dxa"/>
            <w:vAlign w:val="center"/>
          </w:tcPr>
          <w:p w:rsidR="00AA733C" w:rsidRPr="00EF7FC0" w:rsidRDefault="00AA733C" w:rsidP="00064CB7">
            <w:pPr>
              <w:rPr>
                <w:rFonts w:ascii="Times New Roman" w:hAnsi="Times New Roman"/>
                <w:b/>
                <w:sz w:val="16"/>
                <w:szCs w:val="16"/>
              </w:rPr>
            </w:pPr>
            <w:r w:rsidRPr="00EF7FC0">
              <w:rPr>
                <w:rFonts w:ascii="Times New Roman" w:hAnsi="Times New Roman"/>
                <w:b/>
                <w:sz w:val="16"/>
                <w:szCs w:val="16"/>
              </w:rPr>
              <w:t>No.</w:t>
            </w:r>
          </w:p>
        </w:tc>
        <w:tc>
          <w:tcPr>
            <w:tcW w:w="688" w:type="dxa"/>
            <w:vAlign w:val="center"/>
          </w:tcPr>
          <w:p w:rsidR="00AA733C" w:rsidRPr="00EF7FC0" w:rsidRDefault="00AA733C" w:rsidP="00064CB7">
            <w:pPr>
              <w:rPr>
                <w:rFonts w:ascii="Times New Roman" w:hAnsi="Times New Roman"/>
                <w:b/>
                <w:sz w:val="16"/>
                <w:szCs w:val="16"/>
              </w:rPr>
            </w:pPr>
            <w:r w:rsidRPr="00EF7FC0">
              <w:rPr>
                <w:rFonts w:ascii="Times New Roman" w:hAnsi="Times New Roman"/>
                <w:b/>
                <w:sz w:val="16"/>
                <w:szCs w:val="16"/>
              </w:rPr>
              <w:t xml:space="preserve">Profil </w:t>
            </w:r>
          </w:p>
        </w:tc>
        <w:tc>
          <w:tcPr>
            <w:tcW w:w="1196" w:type="dxa"/>
            <w:vAlign w:val="center"/>
          </w:tcPr>
          <w:p w:rsidR="00AA733C" w:rsidRPr="00EF7FC0" w:rsidRDefault="00AA733C" w:rsidP="00064CB7">
            <w:pPr>
              <w:rPr>
                <w:rFonts w:ascii="Times New Roman" w:hAnsi="Times New Roman"/>
                <w:b/>
                <w:sz w:val="16"/>
                <w:szCs w:val="16"/>
              </w:rPr>
            </w:pPr>
            <w:r w:rsidRPr="00EF7FC0">
              <w:rPr>
                <w:rFonts w:ascii="Times New Roman" w:hAnsi="Times New Roman"/>
                <w:b/>
                <w:sz w:val="16"/>
                <w:szCs w:val="16"/>
              </w:rPr>
              <w:t>Rata2 (X+SD)</w:t>
            </w:r>
          </w:p>
        </w:tc>
        <w:tc>
          <w:tcPr>
            <w:tcW w:w="766" w:type="dxa"/>
            <w:vAlign w:val="center"/>
          </w:tcPr>
          <w:p w:rsidR="00AA733C" w:rsidRPr="00EF7FC0" w:rsidRDefault="00AA733C" w:rsidP="00064CB7">
            <w:pPr>
              <w:rPr>
                <w:rFonts w:ascii="Times New Roman" w:hAnsi="Times New Roman"/>
                <w:b/>
                <w:sz w:val="16"/>
                <w:szCs w:val="16"/>
              </w:rPr>
            </w:pPr>
            <w:r w:rsidRPr="00EF7FC0">
              <w:rPr>
                <w:rFonts w:ascii="Times New Roman" w:hAnsi="Times New Roman"/>
                <w:b/>
                <w:sz w:val="16"/>
                <w:szCs w:val="16"/>
              </w:rPr>
              <w:t>P Value</w:t>
            </w:r>
          </w:p>
        </w:tc>
        <w:tc>
          <w:tcPr>
            <w:tcW w:w="923" w:type="dxa"/>
            <w:vAlign w:val="center"/>
          </w:tcPr>
          <w:p w:rsidR="00AA733C" w:rsidRPr="00EF7FC0" w:rsidRDefault="00AA733C" w:rsidP="00064CB7">
            <w:pPr>
              <w:rPr>
                <w:rFonts w:ascii="Times New Roman" w:hAnsi="Times New Roman"/>
                <w:b/>
                <w:sz w:val="16"/>
                <w:szCs w:val="16"/>
              </w:rPr>
            </w:pPr>
            <w:r w:rsidRPr="00EF7FC0">
              <w:rPr>
                <w:rFonts w:ascii="Times New Roman" w:hAnsi="Times New Roman"/>
                <w:b/>
                <w:sz w:val="16"/>
                <w:szCs w:val="16"/>
              </w:rPr>
              <w:t>Status</w:t>
            </w:r>
          </w:p>
        </w:tc>
      </w:tr>
      <w:tr w:rsidR="00EF7FC0" w:rsidRPr="00EF7FC0" w:rsidTr="00B67C68">
        <w:tc>
          <w:tcPr>
            <w:tcW w:w="500" w:type="dxa"/>
          </w:tcPr>
          <w:p w:rsidR="00AA733C" w:rsidRPr="00EF7FC0" w:rsidRDefault="00AA733C" w:rsidP="00064CB7">
            <w:pPr>
              <w:rPr>
                <w:rFonts w:ascii="Times New Roman" w:hAnsi="Times New Roman"/>
                <w:sz w:val="16"/>
                <w:szCs w:val="16"/>
              </w:rPr>
            </w:pPr>
            <w:r w:rsidRPr="00EF7FC0">
              <w:rPr>
                <w:rFonts w:ascii="Times New Roman" w:hAnsi="Times New Roman"/>
                <w:sz w:val="16"/>
                <w:szCs w:val="16"/>
              </w:rPr>
              <w:t>1</w:t>
            </w:r>
          </w:p>
        </w:tc>
        <w:tc>
          <w:tcPr>
            <w:tcW w:w="688" w:type="dxa"/>
          </w:tcPr>
          <w:p w:rsidR="00AA733C" w:rsidRPr="00EF7FC0" w:rsidRDefault="00AA733C" w:rsidP="00064CB7">
            <w:pPr>
              <w:jc w:val="both"/>
              <w:rPr>
                <w:rFonts w:ascii="Times New Roman" w:hAnsi="Times New Roman"/>
                <w:sz w:val="16"/>
                <w:szCs w:val="16"/>
              </w:rPr>
            </w:pPr>
            <w:r w:rsidRPr="00EF7FC0">
              <w:rPr>
                <w:rFonts w:ascii="Times New Roman" w:hAnsi="Times New Roman"/>
                <w:sz w:val="16"/>
                <w:szCs w:val="16"/>
              </w:rPr>
              <w:t>Hb</w:t>
            </w:r>
          </w:p>
        </w:tc>
        <w:tc>
          <w:tcPr>
            <w:tcW w:w="1196" w:type="dxa"/>
          </w:tcPr>
          <w:p w:rsidR="00AA733C" w:rsidRPr="00EF7FC0" w:rsidRDefault="00AA733C" w:rsidP="00064CB7">
            <w:pPr>
              <w:jc w:val="both"/>
              <w:rPr>
                <w:rFonts w:ascii="Times New Roman" w:hAnsi="Times New Roman"/>
                <w:sz w:val="16"/>
                <w:szCs w:val="16"/>
              </w:rPr>
            </w:pPr>
            <w:r w:rsidRPr="00EF7FC0">
              <w:rPr>
                <w:rFonts w:ascii="Times New Roman" w:hAnsi="Times New Roman"/>
                <w:sz w:val="16"/>
                <w:szCs w:val="16"/>
              </w:rPr>
              <w:t>9,23±1,52</w:t>
            </w:r>
          </w:p>
        </w:tc>
        <w:tc>
          <w:tcPr>
            <w:tcW w:w="766" w:type="dxa"/>
          </w:tcPr>
          <w:p w:rsidR="00AA733C" w:rsidRPr="00EF7FC0" w:rsidRDefault="00AA733C" w:rsidP="00064CB7">
            <w:pPr>
              <w:rPr>
                <w:rFonts w:ascii="Times New Roman" w:hAnsi="Times New Roman"/>
                <w:b/>
                <w:sz w:val="16"/>
                <w:szCs w:val="16"/>
              </w:rPr>
            </w:pPr>
            <w:r w:rsidRPr="00EF7FC0">
              <w:rPr>
                <w:rFonts w:ascii="Times New Roman" w:hAnsi="Times New Roman"/>
                <w:b/>
                <w:sz w:val="16"/>
                <w:szCs w:val="16"/>
              </w:rPr>
              <w:t>0,868</w:t>
            </w:r>
          </w:p>
        </w:tc>
        <w:tc>
          <w:tcPr>
            <w:tcW w:w="923" w:type="dxa"/>
          </w:tcPr>
          <w:p w:rsidR="00AA733C" w:rsidRPr="00EF7FC0" w:rsidRDefault="00AA733C" w:rsidP="00064CB7">
            <w:pPr>
              <w:jc w:val="both"/>
              <w:rPr>
                <w:rFonts w:ascii="Times New Roman" w:hAnsi="Times New Roman"/>
                <w:sz w:val="16"/>
                <w:szCs w:val="16"/>
              </w:rPr>
            </w:pPr>
            <w:r w:rsidRPr="00EF7FC0">
              <w:rPr>
                <w:rFonts w:ascii="Times New Roman" w:hAnsi="Times New Roman"/>
                <w:sz w:val="16"/>
                <w:szCs w:val="16"/>
              </w:rPr>
              <w:t>Homogen</w:t>
            </w:r>
          </w:p>
        </w:tc>
      </w:tr>
      <w:tr w:rsidR="00EF7FC0" w:rsidRPr="00EF7FC0" w:rsidTr="00B67C68">
        <w:tc>
          <w:tcPr>
            <w:tcW w:w="500" w:type="dxa"/>
            <w:hideMark/>
          </w:tcPr>
          <w:p w:rsidR="00AA733C" w:rsidRPr="00EF7FC0" w:rsidRDefault="00AA733C" w:rsidP="00AA733C">
            <w:pPr>
              <w:rPr>
                <w:rFonts w:ascii="Times New Roman" w:hAnsi="Times New Roman"/>
                <w:sz w:val="16"/>
                <w:szCs w:val="16"/>
              </w:rPr>
            </w:pPr>
            <w:r w:rsidRPr="00EF7FC0">
              <w:rPr>
                <w:rFonts w:ascii="Times New Roman" w:hAnsi="Times New Roman"/>
                <w:sz w:val="16"/>
                <w:szCs w:val="16"/>
              </w:rPr>
              <w:t>2</w:t>
            </w:r>
          </w:p>
        </w:tc>
        <w:tc>
          <w:tcPr>
            <w:tcW w:w="688"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MCV</w:t>
            </w:r>
          </w:p>
        </w:tc>
        <w:tc>
          <w:tcPr>
            <w:tcW w:w="1196"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90,52±6,15</w:t>
            </w:r>
          </w:p>
        </w:tc>
        <w:tc>
          <w:tcPr>
            <w:tcW w:w="766" w:type="dxa"/>
            <w:hideMark/>
          </w:tcPr>
          <w:p w:rsidR="00AA733C" w:rsidRPr="00EF7FC0" w:rsidRDefault="00AA733C" w:rsidP="00AA733C">
            <w:pPr>
              <w:rPr>
                <w:rFonts w:ascii="Times New Roman" w:hAnsi="Times New Roman"/>
                <w:b/>
                <w:sz w:val="16"/>
                <w:szCs w:val="16"/>
              </w:rPr>
            </w:pPr>
            <w:r w:rsidRPr="00EF7FC0">
              <w:rPr>
                <w:rFonts w:ascii="Times New Roman" w:hAnsi="Times New Roman"/>
                <w:b/>
                <w:sz w:val="16"/>
                <w:szCs w:val="16"/>
              </w:rPr>
              <w:t>0,93</w:t>
            </w:r>
          </w:p>
        </w:tc>
        <w:tc>
          <w:tcPr>
            <w:tcW w:w="923"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Homogen</w:t>
            </w:r>
          </w:p>
        </w:tc>
      </w:tr>
      <w:tr w:rsidR="00EF7FC0" w:rsidRPr="00EF7FC0" w:rsidTr="00B67C68">
        <w:tc>
          <w:tcPr>
            <w:tcW w:w="500" w:type="dxa"/>
            <w:hideMark/>
          </w:tcPr>
          <w:p w:rsidR="00AA733C" w:rsidRPr="00EF7FC0" w:rsidRDefault="00AA733C" w:rsidP="00AA733C">
            <w:pPr>
              <w:rPr>
                <w:rFonts w:ascii="Times New Roman" w:hAnsi="Times New Roman"/>
                <w:sz w:val="16"/>
                <w:szCs w:val="16"/>
              </w:rPr>
            </w:pPr>
            <w:r w:rsidRPr="00EF7FC0">
              <w:rPr>
                <w:rFonts w:ascii="Times New Roman" w:hAnsi="Times New Roman"/>
                <w:sz w:val="16"/>
                <w:szCs w:val="16"/>
              </w:rPr>
              <w:t>3</w:t>
            </w:r>
          </w:p>
        </w:tc>
        <w:tc>
          <w:tcPr>
            <w:tcW w:w="688"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MCH</w:t>
            </w:r>
          </w:p>
        </w:tc>
        <w:tc>
          <w:tcPr>
            <w:tcW w:w="1196"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29,59±1,990</w:t>
            </w:r>
          </w:p>
        </w:tc>
        <w:tc>
          <w:tcPr>
            <w:tcW w:w="766" w:type="dxa"/>
            <w:hideMark/>
          </w:tcPr>
          <w:p w:rsidR="00AA733C" w:rsidRPr="00EF7FC0" w:rsidRDefault="00AA733C" w:rsidP="00AA733C">
            <w:pPr>
              <w:rPr>
                <w:rFonts w:ascii="Times New Roman" w:hAnsi="Times New Roman"/>
                <w:b/>
                <w:sz w:val="16"/>
                <w:szCs w:val="16"/>
              </w:rPr>
            </w:pPr>
            <w:r w:rsidRPr="00EF7FC0">
              <w:rPr>
                <w:rFonts w:ascii="Times New Roman" w:hAnsi="Times New Roman"/>
                <w:b/>
                <w:sz w:val="16"/>
                <w:szCs w:val="16"/>
              </w:rPr>
              <w:t>0,798</w:t>
            </w:r>
          </w:p>
        </w:tc>
        <w:tc>
          <w:tcPr>
            <w:tcW w:w="923"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Homogen</w:t>
            </w:r>
          </w:p>
        </w:tc>
      </w:tr>
      <w:tr w:rsidR="00EF7FC0" w:rsidRPr="00EF7FC0" w:rsidTr="00B67C68">
        <w:tc>
          <w:tcPr>
            <w:tcW w:w="500" w:type="dxa"/>
            <w:hideMark/>
          </w:tcPr>
          <w:p w:rsidR="00AA733C" w:rsidRPr="00EF7FC0" w:rsidRDefault="00AA733C" w:rsidP="00AA733C">
            <w:pPr>
              <w:rPr>
                <w:rFonts w:ascii="Times New Roman" w:hAnsi="Times New Roman"/>
                <w:sz w:val="16"/>
                <w:szCs w:val="16"/>
              </w:rPr>
            </w:pPr>
            <w:r w:rsidRPr="00EF7FC0">
              <w:rPr>
                <w:rFonts w:ascii="Times New Roman" w:hAnsi="Times New Roman"/>
                <w:sz w:val="16"/>
                <w:szCs w:val="16"/>
              </w:rPr>
              <w:t>4</w:t>
            </w:r>
          </w:p>
        </w:tc>
        <w:tc>
          <w:tcPr>
            <w:tcW w:w="688"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MCHC</w:t>
            </w:r>
          </w:p>
        </w:tc>
        <w:tc>
          <w:tcPr>
            <w:tcW w:w="1196"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32,89±0,688</w:t>
            </w:r>
          </w:p>
        </w:tc>
        <w:tc>
          <w:tcPr>
            <w:tcW w:w="766" w:type="dxa"/>
            <w:hideMark/>
          </w:tcPr>
          <w:p w:rsidR="00AA733C" w:rsidRPr="00EF7FC0" w:rsidRDefault="00AA733C" w:rsidP="00AA733C">
            <w:pPr>
              <w:rPr>
                <w:rFonts w:ascii="Times New Roman" w:hAnsi="Times New Roman"/>
                <w:b/>
                <w:sz w:val="16"/>
                <w:szCs w:val="16"/>
              </w:rPr>
            </w:pPr>
            <w:r w:rsidRPr="00EF7FC0">
              <w:rPr>
                <w:rFonts w:ascii="Times New Roman" w:hAnsi="Times New Roman"/>
                <w:b/>
                <w:sz w:val="16"/>
                <w:szCs w:val="16"/>
              </w:rPr>
              <w:t>0,201</w:t>
            </w:r>
          </w:p>
        </w:tc>
        <w:tc>
          <w:tcPr>
            <w:tcW w:w="923" w:type="dxa"/>
            <w:hideMark/>
          </w:tcPr>
          <w:p w:rsidR="00AA733C" w:rsidRPr="00EF7FC0" w:rsidRDefault="00AA733C" w:rsidP="00AA733C">
            <w:pPr>
              <w:jc w:val="both"/>
              <w:rPr>
                <w:rFonts w:ascii="Times New Roman" w:hAnsi="Times New Roman"/>
                <w:sz w:val="16"/>
                <w:szCs w:val="16"/>
              </w:rPr>
            </w:pPr>
            <w:r w:rsidRPr="00EF7FC0">
              <w:rPr>
                <w:rFonts w:ascii="Times New Roman" w:hAnsi="Times New Roman"/>
                <w:sz w:val="16"/>
                <w:szCs w:val="16"/>
              </w:rPr>
              <w:t>Homogen</w:t>
            </w:r>
          </w:p>
        </w:tc>
      </w:tr>
    </w:tbl>
    <w:p w:rsidR="00AA733C" w:rsidRPr="00EF7FC0" w:rsidRDefault="00AA733C" w:rsidP="00AA733C">
      <w:pPr>
        <w:spacing w:after="240"/>
        <w:ind w:left="270" w:firstLine="450"/>
        <w:jc w:val="both"/>
        <w:rPr>
          <w:sz w:val="22"/>
          <w:szCs w:val="22"/>
        </w:rPr>
      </w:pPr>
      <w:proofErr w:type="gramStart"/>
      <w:r w:rsidRPr="00EF7FC0">
        <w:rPr>
          <w:sz w:val="22"/>
          <w:szCs w:val="22"/>
        </w:rPr>
        <w:lastRenderedPageBreak/>
        <w:t>Pengunaan eritropoetin di bandingkan dengan penggunaan zat besi terhadap profil sel darah merah.</w:t>
      </w:r>
      <w:proofErr w:type="gramEnd"/>
      <w:r w:rsidRPr="00EF7FC0">
        <w:rPr>
          <w:sz w:val="22"/>
          <w:szCs w:val="22"/>
        </w:rPr>
        <w:t xml:space="preserve"> Pada kelompok pasien yang mendapatkan terapi eritropoetin dan kelompok pasien yang mendapatkan terapi zat besi di dapatkan hasil rata-rata profil HB, MCV, MCH, </w:t>
      </w:r>
      <w:proofErr w:type="gramStart"/>
      <w:r w:rsidRPr="00EF7FC0">
        <w:rPr>
          <w:sz w:val="22"/>
          <w:szCs w:val="22"/>
        </w:rPr>
        <w:t>MCHC  seperti</w:t>
      </w:r>
      <w:proofErr w:type="gramEnd"/>
      <w:r w:rsidRPr="00EF7FC0">
        <w:rPr>
          <w:sz w:val="22"/>
          <w:szCs w:val="22"/>
        </w:rPr>
        <w:t xml:space="preserve"> pada tabel II:</w:t>
      </w:r>
    </w:p>
    <w:p w:rsidR="00887D67" w:rsidRPr="00EF7FC0" w:rsidRDefault="00887D67" w:rsidP="00887D67">
      <w:pPr>
        <w:pStyle w:val="Caption"/>
        <w:keepNext/>
        <w:spacing w:after="120"/>
        <w:jc w:val="center"/>
        <w:rPr>
          <w:rFonts w:ascii="Times New Roman" w:hAnsi="Times New Roman" w:cs="Times New Roman"/>
          <w:b w:val="0"/>
          <w:color w:val="auto"/>
          <w:sz w:val="22"/>
          <w:szCs w:val="22"/>
          <w:lang w:val="en-US"/>
        </w:rPr>
      </w:pPr>
      <w:r w:rsidRPr="00EF7FC0">
        <w:rPr>
          <w:rFonts w:ascii="Times New Roman" w:hAnsi="Times New Roman" w:cs="Times New Roman"/>
          <w:b w:val="0"/>
          <w:color w:val="auto"/>
          <w:sz w:val="22"/>
          <w:szCs w:val="22"/>
          <w:lang w:val="en-US"/>
        </w:rPr>
        <w:t xml:space="preserve">Tabel </w:t>
      </w:r>
      <w:r w:rsidR="00E26F24" w:rsidRPr="00EF7FC0">
        <w:rPr>
          <w:rFonts w:ascii="Times New Roman" w:hAnsi="Times New Roman" w:cs="Times New Roman"/>
          <w:b w:val="0"/>
          <w:color w:val="auto"/>
          <w:sz w:val="22"/>
          <w:szCs w:val="22"/>
          <w:lang w:val="en-US"/>
        </w:rPr>
        <w:fldChar w:fldCharType="begin"/>
      </w:r>
      <w:r w:rsidRPr="00EF7FC0">
        <w:rPr>
          <w:rFonts w:ascii="Times New Roman" w:hAnsi="Times New Roman" w:cs="Times New Roman"/>
          <w:b w:val="0"/>
          <w:color w:val="auto"/>
          <w:sz w:val="22"/>
          <w:szCs w:val="22"/>
          <w:lang w:val="en-US"/>
        </w:rPr>
        <w:instrText xml:space="preserve"> SEQ Tabel \* ROMAN </w:instrText>
      </w:r>
      <w:r w:rsidR="00E26F24" w:rsidRPr="00EF7FC0">
        <w:rPr>
          <w:rFonts w:ascii="Times New Roman" w:hAnsi="Times New Roman" w:cs="Times New Roman"/>
          <w:b w:val="0"/>
          <w:color w:val="auto"/>
          <w:sz w:val="22"/>
          <w:szCs w:val="22"/>
          <w:lang w:val="en-US"/>
        </w:rPr>
        <w:fldChar w:fldCharType="separate"/>
      </w:r>
      <w:r w:rsidR="00DF2517">
        <w:rPr>
          <w:rFonts w:ascii="Times New Roman" w:hAnsi="Times New Roman" w:cs="Times New Roman"/>
          <w:b w:val="0"/>
          <w:noProof/>
          <w:color w:val="auto"/>
          <w:sz w:val="22"/>
          <w:szCs w:val="22"/>
          <w:lang w:val="en-US"/>
        </w:rPr>
        <w:t>I</w:t>
      </w:r>
      <w:r w:rsidR="00E26F24" w:rsidRPr="00EF7FC0">
        <w:rPr>
          <w:rFonts w:ascii="Times New Roman" w:hAnsi="Times New Roman" w:cs="Times New Roman"/>
          <w:b w:val="0"/>
          <w:color w:val="auto"/>
          <w:sz w:val="22"/>
          <w:szCs w:val="22"/>
          <w:lang w:val="en-US"/>
        </w:rPr>
        <w:fldChar w:fldCharType="end"/>
      </w:r>
      <w:r w:rsidRPr="00EF7FC0">
        <w:rPr>
          <w:rFonts w:ascii="Times New Roman" w:hAnsi="Times New Roman" w:cs="Times New Roman"/>
          <w:b w:val="0"/>
          <w:color w:val="auto"/>
          <w:sz w:val="22"/>
          <w:szCs w:val="22"/>
          <w:lang w:val="en-US"/>
        </w:rPr>
        <w:t>. Rata-rata profil sel darah merah</w:t>
      </w:r>
    </w:p>
    <w:tbl>
      <w:tblPr>
        <w:tblStyle w:val="TableGrid"/>
        <w:tblW w:w="3848" w:type="dxa"/>
        <w:tblInd w:w="198" w:type="dxa"/>
        <w:tblLayout w:type="fixed"/>
        <w:tblLook w:val="04A0"/>
      </w:tblPr>
      <w:tblGrid>
        <w:gridCol w:w="1071"/>
        <w:gridCol w:w="639"/>
        <w:gridCol w:w="720"/>
        <w:gridCol w:w="698"/>
        <w:gridCol w:w="720"/>
      </w:tblGrid>
      <w:tr w:rsidR="00EF7FC0" w:rsidRPr="00EF7FC0" w:rsidTr="00E66E87">
        <w:tc>
          <w:tcPr>
            <w:tcW w:w="1071" w:type="dxa"/>
            <w:vAlign w:val="center"/>
          </w:tcPr>
          <w:p w:rsidR="00887D67" w:rsidRPr="00EF7FC0" w:rsidRDefault="00887D67" w:rsidP="00064CB7">
            <w:pPr>
              <w:rPr>
                <w:rFonts w:ascii="Times New Roman" w:hAnsi="Times New Roman"/>
                <w:b/>
                <w:sz w:val="16"/>
                <w:szCs w:val="16"/>
              </w:rPr>
            </w:pPr>
            <w:r w:rsidRPr="00EF7FC0">
              <w:rPr>
                <w:rFonts w:ascii="Times New Roman" w:hAnsi="Times New Roman"/>
                <w:b/>
                <w:sz w:val="16"/>
                <w:szCs w:val="16"/>
              </w:rPr>
              <w:t xml:space="preserve">Profil </w:t>
            </w:r>
          </w:p>
        </w:tc>
        <w:tc>
          <w:tcPr>
            <w:tcW w:w="639" w:type="dxa"/>
            <w:vAlign w:val="center"/>
          </w:tcPr>
          <w:p w:rsidR="00887D67" w:rsidRPr="00EF7FC0" w:rsidRDefault="00887D67" w:rsidP="00064CB7">
            <w:pPr>
              <w:rPr>
                <w:rFonts w:ascii="Times New Roman" w:hAnsi="Times New Roman"/>
                <w:b/>
                <w:sz w:val="16"/>
                <w:szCs w:val="16"/>
              </w:rPr>
            </w:pPr>
            <w:r w:rsidRPr="00EF7FC0">
              <w:rPr>
                <w:rFonts w:ascii="Times New Roman" w:hAnsi="Times New Roman"/>
                <w:b/>
                <w:sz w:val="16"/>
                <w:szCs w:val="16"/>
              </w:rPr>
              <w:t>Hb</w:t>
            </w:r>
          </w:p>
        </w:tc>
        <w:tc>
          <w:tcPr>
            <w:tcW w:w="720" w:type="dxa"/>
            <w:vAlign w:val="center"/>
          </w:tcPr>
          <w:p w:rsidR="00887D67" w:rsidRPr="00EF7FC0" w:rsidRDefault="00887D67" w:rsidP="00064CB7">
            <w:pPr>
              <w:rPr>
                <w:rFonts w:ascii="Times New Roman" w:hAnsi="Times New Roman"/>
                <w:b/>
                <w:sz w:val="16"/>
                <w:szCs w:val="16"/>
              </w:rPr>
            </w:pPr>
            <w:r w:rsidRPr="00EF7FC0">
              <w:rPr>
                <w:rFonts w:ascii="Times New Roman" w:hAnsi="Times New Roman"/>
                <w:b/>
                <w:sz w:val="16"/>
                <w:szCs w:val="16"/>
              </w:rPr>
              <w:t>MCV</w:t>
            </w:r>
          </w:p>
        </w:tc>
        <w:tc>
          <w:tcPr>
            <w:tcW w:w="698" w:type="dxa"/>
            <w:vAlign w:val="center"/>
          </w:tcPr>
          <w:p w:rsidR="00887D67" w:rsidRPr="00EF7FC0" w:rsidRDefault="00887D67" w:rsidP="00064CB7">
            <w:pPr>
              <w:rPr>
                <w:rFonts w:ascii="Times New Roman" w:hAnsi="Times New Roman"/>
                <w:b/>
                <w:sz w:val="16"/>
                <w:szCs w:val="16"/>
              </w:rPr>
            </w:pPr>
            <w:r w:rsidRPr="00EF7FC0">
              <w:rPr>
                <w:rFonts w:ascii="Times New Roman" w:hAnsi="Times New Roman"/>
                <w:b/>
                <w:sz w:val="16"/>
                <w:szCs w:val="16"/>
              </w:rPr>
              <w:t>MCH</w:t>
            </w:r>
          </w:p>
        </w:tc>
        <w:tc>
          <w:tcPr>
            <w:tcW w:w="720" w:type="dxa"/>
          </w:tcPr>
          <w:p w:rsidR="00887D67" w:rsidRPr="00EF7FC0" w:rsidRDefault="00887D67" w:rsidP="00064CB7">
            <w:pPr>
              <w:rPr>
                <w:b/>
                <w:sz w:val="16"/>
                <w:szCs w:val="16"/>
              </w:rPr>
            </w:pPr>
            <w:r w:rsidRPr="00EF7FC0">
              <w:rPr>
                <w:b/>
                <w:sz w:val="16"/>
                <w:szCs w:val="16"/>
              </w:rPr>
              <w:t>MCHC</w:t>
            </w:r>
          </w:p>
        </w:tc>
      </w:tr>
      <w:tr w:rsidR="00EF7FC0" w:rsidRPr="00EF7FC0" w:rsidTr="00E66E87">
        <w:tc>
          <w:tcPr>
            <w:tcW w:w="1071" w:type="dxa"/>
          </w:tcPr>
          <w:p w:rsidR="00887D67" w:rsidRPr="00EF7FC0" w:rsidRDefault="00887D67" w:rsidP="00887D67">
            <w:pPr>
              <w:jc w:val="both"/>
              <w:rPr>
                <w:rFonts w:ascii="Times New Roman" w:hAnsi="Times New Roman"/>
                <w:sz w:val="16"/>
                <w:szCs w:val="16"/>
              </w:rPr>
            </w:pPr>
            <w:r w:rsidRPr="00EF7FC0">
              <w:rPr>
                <w:rFonts w:ascii="Times New Roman" w:hAnsi="Times New Roman"/>
                <w:b/>
                <w:sz w:val="16"/>
                <w:szCs w:val="16"/>
              </w:rPr>
              <w:t>(x + SD)</w:t>
            </w:r>
          </w:p>
        </w:tc>
        <w:tc>
          <w:tcPr>
            <w:tcW w:w="639" w:type="dxa"/>
            <w:vAlign w:val="center"/>
          </w:tcPr>
          <w:p w:rsidR="00887D67" w:rsidRPr="00EF7FC0" w:rsidRDefault="00887D67" w:rsidP="00887D67">
            <w:pPr>
              <w:jc w:val="both"/>
              <w:rPr>
                <w:sz w:val="16"/>
                <w:szCs w:val="16"/>
              </w:rPr>
            </w:pPr>
            <w:r w:rsidRPr="00EF7FC0">
              <w:rPr>
                <w:sz w:val="16"/>
                <w:szCs w:val="16"/>
              </w:rPr>
              <w:t>9,28 ± 1,528</w:t>
            </w:r>
          </w:p>
        </w:tc>
        <w:tc>
          <w:tcPr>
            <w:tcW w:w="720" w:type="dxa"/>
          </w:tcPr>
          <w:p w:rsidR="00887D67" w:rsidRPr="00EF7FC0" w:rsidRDefault="00E66E87" w:rsidP="00887D67">
            <w:pPr>
              <w:rPr>
                <w:rFonts w:ascii="Times New Roman" w:hAnsi="Times New Roman"/>
                <w:b/>
                <w:sz w:val="16"/>
                <w:szCs w:val="16"/>
              </w:rPr>
            </w:pPr>
            <w:r w:rsidRPr="00EF7FC0">
              <w:rPr>
                <w:sz w:val="16"/>
                <w:szCs w:val="16"/>
              </w:rPr>
              <w:t>90,06 ± 6,150</w:t>
            </w:r>
          </w:p>
        </w:tc>
        <w:tc>
          <w:tcPr>
            <w:tcW w:w="698" w:type="dxa"/>
          </w:tcPr>
          <w:p w:rsidR="00887D67" w:rsidRPr="00EF7FC0" w:rsidRDefault="00E66E87" w:rsidP="00887D67">
            <w:pPr>
              <w:jc w:val="both"/>
              <w:rPr>
                <w:rFonts w:ascii="Times New Roman" w:hAnsi="Times New Roman"/>
                <w:sz w:val="16"/>
                <w:szCs w:val="16"/>
              </w:rPr>
            </w:pPr>
            <w:r w:rsidRPr="00EF7FC0">
              <w:rPr>
                <w:sz w:val="16"/>
                <w:szCs w:val="16"/>
              </w:rPr>
              <w:t>29,60±1,998</w:t>
            </w:r>
          </w:p>
        </w:tc>
        <w:tc>
          <w:tcPr>
            <w:tcW w:w="720" w:type="dxa"/>
          </w:tcPr>
          <w:p w:rsidR="00887D67" w:rsidRPr="00EF7FC0" w:rsidRDefault="00E66E87" w:rsidP="00887D67">
            <w:pPr>
              <w:jc w:val="both"/>
              <w:rPr>
                <w:sz w:val="16"/>
                <w:szCs w:val="16"/>
              </w:rPr>
            </w:pPr>
            <w:r w:rsidRPr="00EF7FC0">
              <w:rPr>
                <w:sz w:val="16"/>
                <w:szCs w:val="16"/>
              </w:rPr>
              <w:t>32,89±0,688</w:t>
            </w:r>
          </w:p>
        </w:tc>
      </w:tr>
      <w:tr w:rsidR="00EF7FC0" w:rsidRPr="00EF7FC0" w:rsidTr="00E66E87">
        <w:tc>
          <w:tcPr>
            <w:tcW w:w="1071" w:type="dxa"/>
            <w:hideMark/>
          </w:tcPr>
          <w:p w:rsidR="00887D67" w:rsidRPr="00EF7FC0" w:rsidRDefault="00887D67" w:rsidP="00887D67">
            <w:pPr>
              <w:jc w:val="both"/>
              <w:rPr>
                <w:b/>
                <w:sz w:val="16"/>
                <w:szCs w:val="16"/>
              </w:rPr>
            </w:pPr>
            <w:r w:rsidRPr="00EF7FC0">
              <w:rPr>
                <w:b/>
                <w:sz w:val="16"/>
                <w:szCs w:val="16"/>
              </w:rPr>
              <w:t>Independent T–tes</w:t>
            </w:r>
          </w:p>
          <w:p w:rsidR="00887D67" w:rsidRPr="00EF7FC0" w:rsidRDefault="00887D67" w:rsidP="00887D67">
            <w:pPr>
              <w:jc w:val="both"/>
              <w:rPr>
                <w:rFonts w:ascii="Times New Roman" w:hAnsi="Times New Roman"/>
                <w:sz w:val="16"/>
                <w:szCs w:val="16"/>
              </w:rPr>
            </w:pPr>
            <w:r w:rsidRPr="00EF7FC0">
              <w:rPr>
                <w:rFonts w:ascii="Times New Roman" w:hAnsi="Times New Roman"/>
                <w:b/>
                <w:sz w:val="16"/>
                <w:szCs w:val="16"/>
              </w:rPr>
              <w:t xml:space="preserve">( </w:t>
            </w:r>
            <w:r w:rsidRPr="00EF7FC0">
              <w:rPr>
                <w:rFonts w:ascii="Times New Roman" w:hAnsi="Times New Roman"/>
                <w:b/>
                <w:i/>
                <w:sz w:val="16"/>
                <w:szCs w:val="16"/>
              </w:rPr>
              <w:t>P-Value</w:t>
            </w:r>
            <w:r w:rsidRPr="00EF7FC0">
              <w:rPr>
                <w:rFonts w:ascii="Times New Roman" w:hAnsi="Times New Roman"/>
                <w:b/>
                <w:sz w:val="16"/>
                <w:szCs w:val="16"/>
              </w:rPr>
              <w:t>)</w:t>
            </w:r>
          </w:p>
        </w:tc>
        <w:tc>
          <w:tcPr>
            <w:tcW w:w="639" w:type="dxa"/>
          </w:tcPr>
          <w:p w:rsidR="00887D67" w:rsidRPr="00EF7FC0" w:rsidRDefault="00E66E87" w:rsidP="00887D67">
            <w:pPr>
              <w:jc w:val="both"/>
              <w:rPr>
                <w:rFonts w:ascii="Times New Roman" w:hAnsi="Times New Roman"/>
                <w:sz w:val="16"/>
                <w:szCs w:val="16"/>
              </w:rPr>
            </w:pPr>
            <w:r w:rsidRPr="00EF7FC0">
              <w:rPr>
                <w:sz w:val="16"/>
                <w:szCs w:val="16"/>
              </w:rPr>
              <w:t>0.068</w:t>
            </w:r>
          </w:p>
        </w:tc>
        <w:tc>
          <w:tcPr>
            <w:tcW w:w="720" w:type="dxa"/>
          </w:tcPr>
          <w:p w:rsidR="00887D67" w:rsidRPr="00EF7FC0" w:rsidRDefault="00E66E87" w:rsidP="00887D67">
            <w:pPr>
              <w:rPr>
                <w:rFonts w:ascii="Times New Roman" w:hAnsi="Times New Roman"/>
                <w:b/>
                <w:sz w:val="16"/>
                <w:szCs w:val="16"/>
              </w:rPr>
            </w:pPr>
            <w:r w:rsidRPr="00EF7FC0">
              <w:rPr>
                <w:rFonts w:ascii="Times New Roman" w:hAnsi="Times New Roman"/>
                <w:sz w:val="16"/>
                <w:szCs w:val="16"/>
              </w:rPr>
              <w:t>0.124</w:t>
            </w:r>
          </w:p>
        </w:tc>
        <w:tc>
          <w:tcPr>
            <w:tcW w:w="698" w:type="dxa"/>
          </w:tcPr>
          <w:p w:rsidR="00887D67" w:rsidRPr="00EF7FC0" w:rsidRDefault="00E66E87" w:rsidP="00887D67">
            <w:pPr>
              <w:jc w:val="both"/>
              <w:rPr>
                <w:rFonts w:ascii="Times New Roman" w:hAnsi="Times New Roman"/>
                <w:sz w:val="16"/>
                <w:szCs w:val="16"/>
              </w:rPr>
            </w:pPr>
            <w:r w:rsidRPr="00EF7FC0">
              <w:rPr>
                <w:rFonts w:ascii="Times New Roman" w:hAnsi="Times New Roman"/>
                <w:sz w:val="16"/>
                <w:szCs w:val="16"/>
              </w:rPr>
              <w:t>0.164</w:t>
            </w:r>
          </w:p>
        </w:tc>
        <w:tc>
          <w:tcPr>
            <w:tcW w:w="720" w:type="dxa"/>
          </w:tcPr>
          <w:p w:rsidR="00887D67" w:rsidRPr="00EF7FC0" w:rsidRDefault="00E66E87" w:rsidP="00887D67">
            <w:pPr>
              <w:jc w:val="both"/>
              <w:rPr>
                <w:sz w:val="16"/>
                <w:szCs w:val="16"/>
              </w:rPr>
            </w:pPr>
            <w:r w:rsidRPr="00EF7FC0">
              <w:rPr>
                <w:rFonts w:ascii="Times New Roman" w:hAnsi="Times New Roman"/>
                <w:sz w:val="16"/>
                <w:szCs w:val="16"/>
              </w:rPr>
              <w:t>0,415</w:t>
            </w:r>
          </w:p>
        </w:tc>
      </w:tr>
    </w:tbl>
    <w:p w:rsidR="00887D67" w:rsidRPr="00EF7FC0" w:rsidRDefault="00887D67" w:rsidP="00887D67"/>
    <w:p w:rsidR="00E66E87" w:rsidRPr="00EF7FC0" w:rsidRDefault="00E66E87" w:rsidP="00E66E87">
      <w:pPr>
        <w:ind w:left="270" w:firstLine="450"/>
        <w:jc w:val="both"/>
        <w:rPr>
          <w:sz w:val="22"/>
          <w:szCs w:val="22"/>
        </w:rPr>
      </w:pPr>
      <w:r w:rsidRPr="00EF7FC0">
        <w:rPr>
          <w:sz w:val="22"/>
          <w:szCs w:val="22"/>
        </w:rPr>
        <w:t xml:space="preserve">Berdasarkan </w:t>
      </w:r>
      <w:proofErr w:type="gramStart"/>
      <w:r w:rsidRPr="00EF7FC0">
        <w:rPr>
          <w:sz w:val="22"/>
          <w:szCs w:val="22"/>
        </w:rPr>
        <w:t>tabel  II</w:t>
      </w:r>
      <w:proofErr w:type="gramEnd"/>
      <w:r w:rsidRPr="00EF7FC0">
        <w:rPr>
          <w:sz w:val="22"/>
          <w:szCs w:val="22"/>
        </w:rPr>
        <w:t>, rata-rata profil haemoglobin sebesar (9,28±1,528), rata-rata profil MCV sebesar  (90,06±6,150), Rata-rata profil MCH (29,60±1,998), rata-rata (32,89±0,688). Pada uji independent Sampel t-</w:t>
      </w:r>
      <w:proofErr w:type="gramStart"/>
      <w:r w:rsidRPr="00EF7FC0">
        <w:rPr>
          <w:sz w:val="22"/>
          <w:szCs w:val="22"/>
        </w:rPr>
        <w:t>test  diperoleh</w:t>
      </w:r>
      <w:proofErr w:type="gramEnd"/>
      <w:r w:rsidRPr="00EF7FC0">
        <w:rPr>
          <w:sz w:val="22"/>
          <w:szCs w:val="22"/>
        </w:rPr>
        <w:t xml:space="preserve"> p value profil haemoglobin sebesar 0,68 ; MCV 0,124 ; MCH 0,164 ; 0,415. </w:t>
      </w:r>
      <w:proofErr w:type="gramStart"/>
      <w:r w:rsidRPr="00EF7FC0">
        <w:rPr>
          <w:sz w:val="22"/>
          <w:szCs w:val="22"/>
        </w:rPr>
        <w:t>yang</w:t>
      </w:r>
      <w:proofErr w:type="gramEnd"/>
      <w:r w:rsidRPr="00EF7FC0">
        <w:rPr>
          <w:sz w:val="22"/>
          <w:szCs w:val="22"/>
        </w:rPr>
        <w:t xml:space="preserve"> menunjukkan bahwa tidak terdapat perbedaan yang signifikan terhadap profil sel darah merah terhadap pemberian terapi anemia yang berbeda.</w:t>
      </w:r>
    </w:p>
    <w:p w:rsidR="00E66E87" w:rsidRPr="00EF7FC0" w:rsidRDefault="00E66E87" w:rsidP="00E66E87">
      <w:pPr>
        <w:ind w:left="270" w:firstLine="450"/>
        <w:jc w:val="both"/>
        <w:rPr>
          <w:sz w:val="22"/>
          <w:szCs w:val="22"/>
        </w:rPr>
      </w:pPr>
      <w:r w:rsidRPr="00EF7FC0">
        <w:rPr>
          <w:sz w:val="22"/>
          <w:szCs w:val="22"/>
        </w:rPr>
        <w:t xml:space="preserve">Data perbandingan </w:t>
      </w:r>
      <w:r w:rsidR="00EB04A7">
        <w:rPr>
          <w:sz w:val="22"/>
          <w:szCs w:val="22"/>
        </w:rPr>
        <w:t>Hb</w:t>
      </w:r>
      <w:r w:rsidRPr="00EF7FC0">
        <w:rPr>
          <w:sz w:val="22"/>
          <w:szCs w:val="22"/>
        </w:rPr>
        <w:t xml:space="preserve">, MCV, MCH, MCHC dari kelompok yang mendapatkan eritropoetin dan kelompok yang mendapatkan terapi zat </w:t>
      </w:r>
      <w:proofErr w:type="gramStart"/>
      <w:r w:rsidRPr="00EF7FC0">
        <w:rPr>
          <w:sz w:val="22"/>
          <w:szCs w:val="22"/>
        </w:rPr>
        <w:t>besi  terdistribusi</w:t>
      </w:r>
      <w:proofErr w:type="gramEnd"/>
      <w:r w:rsidRPr="00EF7FC0">
        <w:rPr>
          <w:sz w:val="22"/>
          <w:szCs w:val="22"/>
        </w:rPr>
        <w:t xml:space="preserve"> normal dan homogen sehingga pada penelitian ini digunakan uji independen sampel t-test.</w:t>
      </w:r>
    </w:p>
    <w:p w:rsidR="00E66E87" w:rsidRPr="00EF7FC0" w:rsidRDefault="00E66E87" w:rsidP="00E66E87">
      <w:pPr>
        <w:ind w:left="270" w:firstLine="450"/>
        <w:jc w:val="both"/>
        <w:rPr>
          <w:sz w:val="22"/>
          <w:szCs w:val="22"/>
        </w:rPr>
      </w:pPr>
      <w:r w:rsidRPr="00EF7FC0">
        <w:rPr>
          <w:sz w:val="22"/>
          <w:szCs w:val="22"/>
        </w:rPr>
        <w:t xml:space="preserve">Rata-rata </w:t>
      </w:r>
      <w:r w:rsidR="00EB04A7">
        <w:rPr>
          <w:sz w:val="22"/>
          <w:szCs w:val="22"/>
        </w:rPr>
        <w:t>Hb</w:t>
      </w:r>
      <w:r w:rsidRPr="00EF7FC0">
        <w:rPr>
          <w:sz w:val="22"/>
          <w:szCs w:val="22"/>
        </w:rPr>
        <w:t xml:space="preserve"> kelompok yang menerima terapi eritropoetin dengan kelompok yang mendapatkan terapi zat </w:t>
      </w:r>
      <w:proofErr w:type="gramStart"/>
      <w:r w:rsidRPr="00EF7FC0">
        <w:rPr>
          <w:sz w:val="22"/>
          <w:szCs w:val="22"/>
        </w:rPr>
        <w:t>besi  sebesar</w:t>
      </w:r>
      <w:proofErr w:type="gramEnd"/>
      <w:r w:rsidRPr="00EF7FC0">
        <w:rPr>
          <w:sz w:val="22"/>
          <w:szCs w:val="22"/>
        </w:rPr>
        <w:t xml:space="preserve"> (9,28±1,528) menunjukkan tidak terdapat perbedaan yang signifikan terhadap rata-rata kadar haemoglobin antara pasien yang mendapatkan eritropoetin dan yang mendapatkan zat besi</w:t>
      </w:r>
      <w:r w:rsidR="00CC56AE" w:rsidRPr="00EF7FC0">
        <w:rPr>
          <w:sz w:val="22"/>
          <w:szCs w:val="22"/>
        </w:rPr>
        <w:t xml:space="preserve"> (P value = 0,068)</w:t>
      </w:r>
      <w:r w:rsidRPr="00EF7FC0">
        <w:rPr>
          <w:sz w:val="22"/>
          <w:szCs w:val="22"/>
        </w:rPr>
        <w:t xml:space="preserve">. Ini menunjukkan tidak ada perbedaan antara </w:t>
      </w:r>
      <w:proofErr w:type="gramStart"/>
      <w:r w:rsidRPr="00EF7FC0">
        <w:rPr>
          <w:sz w:val="22"/>
          <w:szCs w:val="22"/>
        </w:rPr>
        <w:t>kadar</w:t>
      </w:r>
      <w:proofErr w:type="gramEnd"/>
      <w:r w:rsidRPr="00EF7FC0">
        <w:rPr>
          <w:sz w:val="22"/>
          <w:szCs w:val="22"/>
        </w:rPr>
        <w:t xml:space="preserve"> haemoglobi pada pasien yang menerima eritropoetin dan zat besi sebagai terapi anemianya dalam meningkatkan kadar haemoglobin sebagai bagian penting dalam darah. </w:t>
      </w:r>
      <w:proofErr w:type="gramStart"/>
      <w:r w:rsidRPr="00EF7FC0">
        <w:rPr>
          <w:sz w:val="22"/>
          <w:szCs w:val="22"/>
        </w:rPr>
        <w:t>Meskipun hasil perhitungan analisis menunjukka</w:t>
      </w:r>
      <w:r w:rsidR="00CC56AE" w:rsidRPr="00EF7FC0">
        <w:rPr>
          <w:sz w:val="22"/>
          <w:szCs w:val="22"/>
        </w:rPr>
        <w:t>n</w:t>
      </w:r>
      <w:r w:rsidRPr="00EF7FC0">
        <w:rPr>
          <w:sz w:val="22"/>
          <w:szCs w:val="22"/>
        </w:rPr>
        <w:t xml:space="preserve"> tidak terdapat perbedaan yang signifikan antara kelompok eritropoetin dan zat besi.</w:t>
      </w:r>
      <w:proofErr w:type="gramEnd"/>
      <w:r w:rsidRPr="00EF7FC0">
        <w:rPr>
          <w:sz w:val="22"/>
          <w:szCs w:val="22"/>
        </w:rPr>
        <w:t xml:space="preserve"> Namun data menunjukkan bahwa selisih </w:t>
      </w:r>
      <w:r w:rsidRPr="00EF7FC0">
        <w:rPr>
          <w:sz w:val="22"/>
          <w:szCs w:val="22"/>
        </w:rPr>
        <w:lastRenderedPageBreak/>
        <w:t>dari rata-rata haemoglobin kedua kelompok tersebut sebesar 1</w:t>
      </w:r>
      <w:proofErr w:type="gramStart"/>
      <w:r w:rsidRPr="00EF7FC0">
        <w:rPr>
          <w:sz w:val="22"/>
          <w:szCs w:val="22"/>
        </w:rPr>
        <w:t>,00</w:t>
      </w:r>
      <w:proofErr w:type="gramEnd"/>
      <w:r w:rsidRPr="00EF7FC0">
        <w:rPr>
          <w:sz w:val="22"/>
          <w:szCs w:val="22"/>
        </w:rPr>
        <w:t xml:space="preserve">. </w:t>
      </w:r>
      <w:proofErr w:type="gramStart"/>
      <w:r w:rsidRPr="00EF7FC0">
        <w:rPr>
          <w:sz w:val="22"/>
          <w:szCs w:val="22"/>
        </w:rPr>
        <w:t>Hal ini menunjukkan bahwa penggunaan eritropoetin tetap lebi</w:t>
      </w:r>
      <w:r w:rsidR="00CC56AE" w:rsidRPr="00EF7FC0">
        <w:rPr>
          <w:sz w:val="22"/>
          <w:szCs w:val="22"/>
        </w:rPr>
        <w:t>h</w:t>
      </w:r>
      <w:r w:rsidRPr="00EF7FC0">
        <w:rPr>
          <w:sz w:val="22"/>
          <w:szCs w:val="22"/>
        </w:rPr>
        <w:t xml:space="preserve"> baik dari pada zat besi.</w:t>
      </w:r>
      <w:proofErr w:type="gramEnd"/>
      <w:r w:rsidRPr="00EF7FC0">
        <w:rPr>
          <w:sz w:val="22"/>
          <w:szCs w:val="22"/>
        </w:rPr>
        <w:t xml:space="preserve"> </w:t>
      </w:r>
    </w:p>
    <w:p w:rsidR="00E66E87" w:rsidRPr="00EF7FC0" w:rsidRDefault="00E66E87" w:rsidP="00E66E87">
      <w:pPr>
        <w:ind w:left="270" w:firstLine="450"/>
        <w:jc w:val="both"/>
        <w:rPr>
          <w:sz w:val="22"/>
          <w:szCs w:val="22"/>
        </w:rPr>
      </w:pPr>
      <w:r w:rsidRPr="00EF7FC0">
        <w:rPr>
          <w:sz w:val="22"/>
          <w:szCs w:val="22"/>
        </w:rPr>
        <w:t xml:space="preserve">Rata-rata MCV kelompok yang menerima terapi eritropoetin dengan kelompok yang mendapatkan terapi zat besi </w:t>
      </w:r>
      <w:r w:rsidR="00A278EF" w:rsidRPr="00EF7FC0">
        <w:rPr>
          <w:sz w:val="22"/>
          <w:szCs w:val="22"/>
        </w:rPr>
        <w:t xml:space="preserve">menunjukkan bahwa tidak terdapat perbedaan yang signifikan </w:t>
      </w:r>
      <w:r w:rsidR="00A278EF">
        <w:rPr>
          <w:sz w:val="22"/>
          <w:szCs w:val="22"/>
        </w:rPr>
        <w:t>(</w:t>
      </w:r>
      <w:r w:rsidR="00A278EF" w:rsidRPr="00A278EF">
        <w:rPr>
          <w:i/>
          <w:sz w:val="22"/>
          <w:szCs w:val="22"/>
        </w:rPr>
        <w:t xml:space="preserve">p </w:t>
      </w:r>
      <w:proofErr w:type="gramStart"/>
      <w:r w:rsidR="00A278EF" w:rsidRPr="00A278EF">
        <w:rPr>
          <w:i/>
          <w:sz w:val="22"/>
          <w:szCs w:val="22"/>
        </w:rPr>
        <w:t>value</w:t>
      </w:r>
      <w:r w:rsidR="00A278EF" w:rsidRPr="00EF7FC0">
        <w:rPr>
          <w:sz w:val="22"/>
          <w:szCs w:val="22"/>
        </w:rPr>
        <w:t xml:space="preserve"> </w:t>
      </w:r>
      <w:r w:rsidR="00A278EF">
        <w:rPr>
          <w:sz w:val="22"/>
          <w:szCs w:val="22"/>
        </w:rPr>
        <w:t xml:space="preserve"> =</w:t>
      </w:r>
      <w:proofErr w:type="gramEnd"/>
      <w:r w:rsidR="00A278EF">
        <w:rPr>
          <w:sz w:val="22"/>
          <w:szCs w:val="22"/>
        </w:rPr>
        <w:t xml:space="preserve"> </w:t>
      </w:r>
      <w:r w:rsidR="00A278EF" w:rsidRPr="00EF7FC0">
        <w:rPr>
          <w:sz w:val="22"/>
          <w:szCs w:val="22"/>
        </w:rPr>
        <w:t>0,124</w:t>
      </w:r>
      <w:r w:rsidR="00A278EF">
        <w:rPr>
          <w:sz w:val="22"/>
          <w:szCs w:val="22"/>
        </w:rPr>
        <w:t>).</w:t>
      </w:r>
      <w:r w:rsidRPr="00EF7FC0">
        <w:rPr>
          <w:sz w:val="22"/>
          <w:szCs w:val="22"/>
        </w:rPr>
        <w:t xml:space="preserve"> </w:t>
      </w:r>
      <w:proofErr w:type="gramStart"/>
      <w:r w:rsidRPr="00EF7FC0">
        <w:rPr>
          <w:sz w:val="22"/>
          <w:szCs w:val="22"/>
        </w:rPr>
        <w:t>Nilai MCV normal berkisar 82-92 femtoliter berdasarkan definisi dari MCV sendiri yang merupakan volume eritrosit rata-rata nilai eitrosit sendiri merupakan indikator kekurangan zat besi setelah thalsemia dan anemia penyakit kronis di singkirkan.</w:t>
      </w:r>
      <w:proofErr w:type="gramEnd"/>
      <w:r w:rsidRPr="00EF7FC0">
        <w:rPr>
          <w:sz w:val="22"/>
          <w:szCs w:val="22"/>
        </w:rPr>
        <w:t xml:space="preserve"> </w:t>
      </w:r>
      <w:proofErr w:type="gramStart"/>
      <w:r w:rsidRPr="00EF7FC0">
        <w:rPr>
          <w:sz w:val="22"/>
          <w:szCs w:val="22"/>
        </w:rPr>
        <w:t>Untuk rata-rata nilai MCV sendiri dari masing-masing kelompok masih dalam rentan normal.</w:t>
      </w:r>
      <w:proofErr w:type="gramEnd"/>
      <w:r w:rsidRPr="00EF7FC0">
        <w:rPr>
          <w:sz w:val="22"/>
          <w:szCs w:val="22"/>
        </w:rPr>
        <w:t xml:space="preserve"> Hal ini sejalan dengan penelitian (Lundby et al</w:t>
      </w:r>
      <w:proofErr w:type="gramStart"/>
      <w:r w:rsidRPr="00EF7FC0">
        <w:rPr>
          <w:sz w:val="22"/>
          <w:szCs w:val="22"/>
        </w:rPr>
        <w:t>,2007</w:t>
      </w:r>
      <w:proofErr w:type="gramEnd"/>
      <w:r w:rsidRPr="00EF7FC0">
        <w:rPr>
          <w:sz w:val="22"/>
          <w:szCs w:val="22"/>
        </w:rPr>
        <w:t>) yang menagtakan bahwa pemebrian eritropoetin tidak berpengaruh signifikan terhadap ukuran (volume sel rata-rata) atau  jumlah haemoglobin dalam eritrosit (konsentrasi sel haemogolobin rata-rata).</w:t>
      </w:r>
    </w:p>
    <w:p w:rsidR="00E66E87" w:rsidRPr="00EF7FC0" w:rsidRDefault="00E66E87" w:rsidP="00E66E87">
      <w:pPr>
        <w:ind w:left="270" w:firstLine="450"/>
        <w:jc w:val="both"/>
        <w:rPr>
          <w:sz w:val="22"/>
          <w:szCs w:val="22"/>
        </w:rPr>
      </w:pPr>
      <w:r w:rsidRPr="00EF7FC0">
        <w:rPr>
          <w:sz w:val="22"/>
          <w:szCs w:val="22"/>
        </w:rPr>
        <w:t xml:space="preserve">Rata-rata </w:t>
      </w:r>
      <w:r w:rsidR="00DD1748">
        <w:rPr>
          <w:sz w:val="22"/>
          <w:szCs w:val="22"/>
        </w:rPr>
        <w:t>MCH</w:t>
      </w:r>
      <w:r w:rsidRPr="00EF7FC0">
        <w:rPr>
          <w:sz w:val="22"/>
          <w:szCs w:val="22"/>
        </w:rPr>
        <w:t xml:space="preserve"> kelompok yang menerima terapi eritropoetin dengan kelompok yang mendapatkan terapi zat besi menunjukkan bahwa tidak terdapat perbedaan yang signifikan</w:t>
      </w:r>
      <w:r w:rsidR="00A278EF">
        <w:rPr>
          <w:sz w:val="22"/>
          <w:szCs w:val="22"/>
        </w:rPr>
        <w:t xml:space="preserve"> (</w:t>
      </w:r>
      <w:r w:rsidR="00A278EF" w:rsidRPr="00A278EF">
        <w:rPr>
          <w:i/>
          <w:sz w:val="22"/>
          <w:szCs w:val="22"/>
        </w:rPr>
        <w:t xml:space="preserve">p </w:t>
      </w:r>
      <w:proofErr w:type="gramStart"/>
      <w:r w:rsidR="00A278EF" w:rsidRPr="00A278EF">
        <w:rPr>
          <w:i/>
          <w:sz w:val="22"/>
          <w:szCs w:val="22"/>
        </w:rPr>
        <w:t>value</w:t>
      </w:r>
      <w:r w:rsidR="00A278EF" w:rsidRPr="00EF7FC0">
        <w:rPr>
          <w:sz w:val="22"/>
          <w:szCs w:val="22"/>
        </w:rPr>
        <w:t xml:space="preserve"> </w:t>
      </w:r>
      <w:r w:rsidR="00A278EF">
        <w:rPr>
          <w:sz w:val="22"/>
          <w:szCs w:val="22"/>
        </w:rPr>
        <w:t xml:space="preserve"> =</w:t>
      </w:r>
      <w:proofErr w:type="gramEnd"/>
      <w:r w:rsidR="00A278EF">
        <w:rPr>
          <w:sz w:val="22"/>
          <w:szCs w:val="22"/>
        </w:rPr>
        <w:t xml:space="preserve"> </w:t>
      </w:r>
      <w:r w:rsidR="00A278EF" w:rsidRPr="00EF7FC0">
        <w:rPr>
          <w:sz w:val="22"/>
          <w:szCs w:val="22"/>
        </w:rPr>
        <w:t>0,1</w:t>
      </w:r>
      <w:r w:rsidR="00A278EF">
        <w:rPr>
          <w:sz w:val="22"/>
          <w:szCs w:val="22"/>
        </w:rPr>
        <w:t>6</w:t>
      </w:r>
      <w:r w:rsidR="00A278EF" w:rsidRPr="00EF7FC0">
        <w:rPr>
          <w:sz w:val="22"/>
          <w:szCs w:val="22"/>
        </w:rPr>
        <w:t>4</w:t>
      </w:r>
      <w:r w:rsidR="00A278EF">
        <w:rPr>
          <w:sz w:val="22"/>
          <w:szCs w:val="22"/>
        </w:rPr>
        <w:t>)</w:t>
      </w:r>
      <w:r w:rsidRPr="00EF7FC0">
        <w:rPr>
          <w:sz w:val="22"/>
          <w:szCs w:val="22"/>
        </w:rPr>
        <w:t xml:space="preserve"> terhadap rata-rata nilai MCH antara pasien yang mendapatkan eritropoetin dan yang mendapatkan zat besi. </w:t>
      </w:r>
      <w:proofErr w:type="gramStart"/>
      <w:r w:rsidRPr="00EF7FC0">
        <w:rPr>
          <w:sz w:val="22"/>
          <w:szCs w:val="22"/>
        </w:rPr>
        <w:t>MCH yang merupakan nilai dari banyaknya hemoglobin per eritrosit yang biasanya di hitung dalam satuan picogram.</w:t>
      </w:r>
      <w:proofErr w:type="gramEnd"/>
      <w:r w:rsidRPr="00EF7FC0">
        <w:rPr>
          <w:sz w:val="22"/>
          <w:szCs w:val="22"/>
        </w:rPr>
        <w:t xml:space="preserve"> Dari hasil yang di dapat rata-rata nilai MCH dari setiap kelompok masih dalam rentan normal yaitu sekitar 27-33 pico/sel </w:t>
      </w:r>
      <w:proofErr w:type="gramStart"/>
      <w:r w:rsidRPr="00EF7FC0">
        <w:rPr>
          <w:sz w:val="22"/>
          <w:szCs w:val="22"/>
        </w:rPr>
        <w:t>eritrosit  dimana</w:t>
      </w:r>
      <w:proofErr w:type="gramEnd"/>
      <w:r w:rsidRPr="00EF7FC0">
        <w:rPr>
          <w:sz w:val="22"/>
          <w:szCs w:val="22"/>
        </w:rPr>
        <w:t xml:space="preserve"> dalam hal ini mengartikan bahwa setiap sel eritrosit rata-rata baik kelompok eritropoetin dan yang mendapatkan zat besi  masih memiliki haemoglobin yang normal.</w:t>
      </w:r>
    </w:p>
    <w:p w:rsidR="00E66E87" w:rsidRPr="00EF7FC0" w:rsidRDefault="00E66E87" w:rsidP="00E66E87">
      <w:pPr>
        <w:ind w:left="270" w:firstLine="450"/>
        <w:jc w:val="both"/>
        <w:rPr>
          <w:sz w:val="22"/>
          <w:szCs w:val="22"/>
        </w:rPr>
      </w:pPr>
      <w:r w:rsidRPr="00EF7FC0">
        <w:rPr>
          <w:sz w:val="22"/>
          <w:szCs w:val="22"/>
        </w:rPr>
        <w:t xml:space="preserve">Rata-rata </w:t>
      </w:r>
      <w:r w:rsidR="00DD1748">
        <w:rPr>
          <w:sz w:val="22"/>
          <w:szCs w:val="22"/>
        </w:rPr>
        <w:t>MCHC</w:t>
      </w:r>
      <w:r w:rsidRPr="00EF7FC0">
        <w:rPr>
          <w:sz w:val="22"/>
          <w:szCs w:val="22"/>
        </w:rPr>
        <w:t xml:space="preserve"> kelompok yang menerima terapi eritropoetin dengan kelompok yang mendapatkan terapi zat besi mengalami nilai sebesar (32,89±0,688) dengan hasil p value yang diperoleh sebesar 0,415 yang menunjukkan bahwa tidak terdapat perbedaan yang signifikan terhadap rata-rata nilai MCHC antara pasien yang mendapatkan eritropoetin dan yang </w:t>
      </w:r>
      <w:r w:rsidRPr="00EF7FC0">
        <w:rPr>
          <w:sz w:val="22"/>
          <w:szCs w:val="22"/>
        </w:rPr>
        <w:lastRenderedPageBreak/>
        <w:t xml:space="preserve">mendapatkan zat besi. </w:t>
      </w:r>
      <w:proofErr w:type="gramStart"/>
      <w:r w:rsidRPr="00EF7FC0">
        <w:rPr>
          <w:sz w:val="22"/>
          <w:szCs w:val="22"/>
        </w:rPr>
        <w:t>MCHC menggambarkan berat rata-rata haemoglobin persatuan volume sel darah merah dengan rentan normal 33-36% pada kedua pasien rata-rata MCHC masih pada batas normal.</w:t>
      </w:r>
      <w:proofErr w:type="gramEnd"/>
    </w:p>
    <w:p w:rsidR="00E66E87" w:rsidRPr="00EF7FC0" w:rsidRDefault="00E66E87" w:rsidP="00E66E87">
      <w:pPr>
        <w:ind w:left="270" w:firstLine="450"/>
        <w:jc w:val="both"/>
        <w:rPr>
          <w:sz w:val="22"/>
          <w:szCs w:val="22"/>
        </w:rPr>
      </w:pPr>
      <w:r w:rsidRPr="00EF7FC0">
        <w:rPr>
          <w:sz w:val="22"/>
          <w:szCs w:val="22"/>
        </w:rPr>
        <w:t xml:space="preserve">Dari keseluruh data sample darah baik yang </w:t>
      </w:r>
      <w:proofErr w:type="gramStart"/>
      <w:r w:rsidRPr="00EF7FC0">
        <w:rPr>
          <w:sz w:val="22"/>
          <w:szCs w:val="22"/>
        </w:rPr>
        <w:t>menggunakan  eritropoetin</w:t>
      </w:r>
      <w:proofErr w:type="gramEnd"/>
      <w:r w:rsidRPr="00EF7FC0">
        <w:rPr>
          <w:sz w:val="22"/>
          <w:szCs w:val="22"/>
        </w:rPr>
        <w:t xml:space="preserve"> dan yang menggunakan zat besi tidak terdapat perbedaan yang signifikan, penggunaan eritropoetin dan zat besi sendiri di rumah sakit PKU Muhammadiyah Yogyakarta mengacu pada peraturan dalam PERNEFRI. Dimana penatalaksanaan anemia ini untuk pencapaian target &gt; 10 g/dl. The European Best Practice Guidelines untuk penatalaksanaan anemia pada pasien-pasien penyakit ginjal kronik mengatakan bahwa batas bawah hemoglobin normal adalah 11</w:t>
      </w:r>
      <w:proofErr w:type="gramStart"/>
      <w:r w:rsidRPr="00EF7FC0">
        <w:rPr>
          <w:sz w:val="22"/>
          <w:szCs w:val="22"/>
        </w:rPr>
        <w:t>,5</w:t>
      </w:r>
      <w:proofErr w:type="gramEnd"/>
      <w:r w:rsidRPr="00EF7FC0">
        <w:rPr>
          <w:sz w:val="22"/>
          <w:szCs w:val="22"/>
        </w:rPr>
        <w:t xml:space="preserve"> gr/dl pada wanita dan 13,5 gr/dl pada laki-laki &lt; 70 tahun dan 12,0 gr/dl pada laki-laki &gt; 70 tahun.  </w:t>
      </w:r>
      <w:proofErr w:type="gramStart"/>
      <w:r w:rsidRPr="00EF7FC0">
        <w:rPr>
          <w:sz w:val="22"/>
          <w:szCs w:val="22"/>
        </w:rPr>
        <w:t>Menurut PENEFRI respon EPO tidak adekuat jika pasien gagal mencapai target HB yang di kehendaki setelah pemberian EPO selama 4-8 minggu.</w:t>
      </w:r>
      <w:proofErr w:type="gramEnd"/>
      <w:r w:rsidRPr="00EF7FC0">
        <w:rPr>
          <w:sz w:val="22"/>
          <w:szCs w:val="22"/>
        </w:rPr>
        <w:t xml:space="preserve"> </w:t>
      </w:r>
      <w:proofErr w:type="gramStart"/>
      <w:r w:rsidRPr="00EF7FC0">
        <w:rPr>
          <w:sz w:val="22"/>
          <w:szCs w:val="22"/>
        </w:rPr>
        <w:t>Pemberian zat besi dilakukan sebagai pemeriksaan koreksi zat besi, untuk pemberian zat besi rumah sakit PKU Muhammadiyah Yogyakarta juga mengikuti peraturan PERNEFRI.</w:t>
      </w:r>
      <w:proofErr w:type="gramEnd"/>
      <w:r w:rsidRPr="00EF7FC0">
        <w:rPr>
          <w:sz w:val="22"/>
          <w:szCs w:val="22"/>
        </w:rPr>
        <w:t xml:space="preserve"> </w:t>
      </w:r>
      <w:proofErr w:type="gramStart"/>
      <w:r w:rsidRPr="00EF7FC0">
        <w:rPr>
          <w:sz w:val="22"/>
          <w:szCs w:val="22"/>
        </w:rPr>
        <w:t>Pemberian terapi zat besi di lakukan sampai status besi cukup dan kemudian di lanjutkan untuk menggunakan terapi EPO.</w:t>
      </w:r>
      <w:proofErr w:type="gramEnd"/>
      <w:r w:rsidRPr="00EF7FC0">
        <w:rPr>
          <w:sz w:val="22"/>
          <w:szCs w:val="22"/>
        </w:rPr>
        <w:t xml:space="preserve"> </w:t>
      </w:r>
      <w:proofErr w:type="gramStart"/>
      <w:r w:rsidRPr="00EF7FC0">
        <w:rPr>
          <w:sz w:val="22"/>
          <w:szCs w:val="22"/>
        </w:rPr>
        <w:t>Target pemberian zat besi adalah feritin serum &gt; 100 ug/L dan saturasi transferin&gt;20%.</w:t>
      </w:r>
      <w:proofErr w:type="gramEnd"/>
      <w:r w:rsidRPr="00EF7FC0">
        <w:rPr>
          <w:sz w:val="22"/>
          <w:szCs w:val="22"/>
        </w:rPr>
        <w:t xml:space="preserve"> </w:t>
      </w:r>
      <w:proofErr w:type="gramStart"/>
      <w:r w:rsidRPr="00EF7FC0">
        <w:rPr>
          <w:sz w:val="22"/>
          <w:szCs w:val="22"/>
        </w:rPr>
        <w:t>Namun, dalam penelitian ini tidak dilihat angka feritin, karena dengan asumsi bahwa saluruh pasien mengalami anemia di karenakan kekurangan eritropoetin.</w:t>
      </w:r>
      <w:proofErr w:type="gramEnd"/>
      <w:r w:rsidRPr="00EF7FC0">
        <w:rPr>
          <w:sz w:val="22"/>
          <w:szCs w:val="22"/>
        </w:rPr>
        <w:t xml:space="preserve"> </w:t>
      </w:r>
      <w:proofErr w:type="gramStart"/>
      <w:r w:rsidRPr="00EF7FC0">
        <w:rPr>
          <w:sz w:val="22"/>
          <w:szCs w:val="22"/>
        </w:rPr>
        <w:t>Profil MCV, MCH, MCH yang merupakan salah satu pengukuran untuk melihat anemia.</w:t>
      </w:r>
      <w:proofErr w:type="gramEnd"/>
      <w:r w:rsidRPr="00EF7FC0">
        <w:rPr>
          <w:sz w:val="22"/>
          <w:szCs w:val="22"/>
        </w:rPr>
        <w:t xml:space="preserve"> </w:t>
      </w:r>
      <w:proofErr w:type="gramStart"/>
      <w:r w:rsidRPr="00EF7FC0">
        <w:rPr>
          <w:sz w:val="22"/>
          <w:szCs w:val="22"/>
        </w:rPr>
        <w:t>Profil MCV, MCH, dan MCHC menunjukkan taraf normal.</w:t>
      </w:r>
      <w:proofErr w:type="gramEnd"/>
    </w:p>
    <w:p w:rsidR="00B67C68" w:rsidRPr="00EF7FC0" w:rsidRDefault="00B67C68" w:rsidP="00B67C68">
      <w:pPr>
        <w:jc w:val="both"/>
        <w:rPr>
          <w:sz w:val="22"/>
          <w:szCs w:val="22"/>
        </w:rPr>
      </w:pPr>
    </w:p>
    <w:p w:rsidR="00B67C68" w:rsidRPr="00EF7FC0" w:rsidRDefault="00B67C68" w:rsidP="00B67C68">
      <w:pPr>
        <w:pStyle w:val="ListParagraph"/>
        <w:numPr>
          <w:ilvl w:val="0"/>
          <w:numId w:val="10"/>
        </w:numPr>
        <w:ind w:left="270" w:hanging="270"/>
        <w:rPr>
          <w:szCs w:val="24"/>
        </w:rPr>
      </w:pPr>
      <w:r w:rsidRPr="00EF7FC0">
        <w:rPr>
          <w:sz w:val="22"/>
          <w:szCs w:val="22"/>
        </w:rPr>
        <w:t>Kualitas</w:t>
      </w:r>
      <w:r w:rsidRPr="00EF7FC0">
        <w:rPr>
          <w:szCs w:val="24"/>
        </w:rPr>
        <w:t xml:space="preserve"> Hidup</w:t>
      </w:r>
    </w:p>
    <w:p w:rsidR="00B67C68" w:rsidRPr="00EF7FC0" w:rsidRDefault="00B67C68" w:rsidP="00B67C68">
      <w:pPr>
        <w:ind w:left="270" w:firstLine="450"/>
        <w:jc w:val="both"/>
        <w:rPr>
          <w:sz w:val="22"/>
          <w:szCs w:val="22"/>
        </w:rPr>
      </w:pPr>
      <w:r w:rsidRPr="00EF7FC0">
        <w:rPr>
          <w:sz w:val="22"/>
          <w:szCs w:val="22"/>
        </w:rPr>
        <w:t xml:space="preserve">Kualitas hidup responden dapat diketahui dari total nilai kuisioner </w:t>
      </w:r>
      <w:bookmarkStart w:id="1" w:name="OLE_LINK4"/>
      <w:bookmarkStart w:id="2" w:name="OLE_LINK3"/>
      <w:r w:rsidRPr="00EF7FC0">
        <w:rPr>
          <w:sz w:val="22"/>
          <w:szCs w:val="22"/>
        </w:rPr>
        <w:t>KDQOL-SF</w:t>
      </w:r>
      <w:bookmarkEnd w:id="1"/>
      <w:bookmarkEnd w:id="2"/>
      <w:r w:rsidR="006F5103" w:rsidRPr="00EF7FC0">
        <w:rPr>
          <w:sz w:val="22"/>
          <w:szCs w:val="22"/>
        </w:rPr>
        <w:t>36</w:t>
      </w:r>
      <w:r w:rsidRPr="00EF7FC0">
        <w:rPr>
          <w:sz w:val="22"/>
          <w:szCs w:val="22"/>
        </w:rPr>
        <w:t xml:space="preserve">. KDQOL SF-36 terdiri dari 36 pertanyaan yang akan mengukur delapan dimensi yang terkait dengan kualitas hidup yaitu: fungsi fisik, keterbatasan peran karena masalah fisik, </w:t>
      </w:r>
      <w:r w:rsidRPr="00EF7FC0">
        <w:rPr>
          <w:sz w:val="22"/>
          <w:szCs w:val="22"/>
        </w:rPr>
        <w:lastRenderedPageBreak/>
        <w:t>keterbatasan peran karena masalah emosional, fungsi sosial, kesehatan mental/psikologis, vitalitas, nyeri tubuh, dan persepsi kesehatan secara umum.</w:t>
      </w:r>
    </w:p>
    <w:p w:rsidR="00B67C68" w:rsidRPr="00EF7FC0" w:rsidRDefault="00B67C68" w:rsidP="00B67C68">
      <w:pPr>
        <w:ind w:left="270" w:firstLine="450"/>
        <w:jc w:val="both"/>
        <w:rPr>
          <w:sz w:val="22"/>
          <w:szCs w:val="22"/>
        </w:rPr>
      </w:pPr>
      <w:r w:rsidRPr="00EF7FC0">
        <w:rPr>
          <w:sz w:val="22"/>
          <w:szCs w:val="22"/>
        </w:rPr>
        <w:t xml:space="preserve">Setelah di rata-rata skor tiap domain kemudian dihitung responden yang memiliki skor dibawah rata-rata, </w:t>
      </w:r>
      <w:proofErr w:type="gramStart"/>
      <w:r w:rsidRPr="00EF7FC0">
        <w:rPr>
          <w:sz w:val="22"/>
          <w:szCs w:val="22"/>
        </w:rPr>
        <w:t>sama</w:t>
      </w:r>
      <w:proofErr w:type="gramEnd"/>
      <w:r w:rsidRPr="00EF7FC0">
        <w:rPr>
          <w:sz w:val="22"/>
          <w:szCs w:val="22"/>
        </w:rPr>
        <w:t xml:space="preserve"> dengan rata-rata dan diatas rata-rata. Semakin banyak yang memiliki skor dibawah rata-rata pada setiap domain berarti pada domain tersebut sulit untuk dicapai kualitas hidup yang baik (Purwitasari, 2016)</w:t>
      </w:r>
    </w:p>
    <w:p w:rsidR="00B67C68" w:rsidRPr="00EF7FC0" w:rsidRDefault="00B67C68" w:rsidP="00B67C68">
      <w:pPr>
        <w:ind w:left="270" w:firstLine="450"/>
        <w:jc w:val="both"/>
        <w:rPr>
          <w:sz w:val="22"/>
          <w:szCs w:val="22"/>
        </w:rPr>
      </w:pPr>
      <w:proofErr w:type="gramStart"/>
      <w:r w:rsidRPr="00EF7FC0">
        <w:rPr>
          <w:sz w:val="22"/>
          <w:szCs w:val="22"/>
        </w:rPr>
        <w:t>Separuh responden memiliki kualitas fisik yang rendah, hal ini adalah dampak dari penyakit gagal ginjal yang dimiliki pasien.</w:t>
      </w:r>
      <w:proofErr w:type="gramEnd"/>
      <w:r w:rsidRPr="00EF7FC0">
        <w:rPr>
          <w:sz w:val="22"/>
          <w:szCs w:val="22"/>
        </w:rPr>
        <w:t xml:space="preserve"> </w:t>
      </w:r>
      <w:proofErr w:type="gramStart"/>
      <w:r w:rsidRPr="00EF7FC0">
        <w:rPr>
          <w:sz w:val="22"/>
          <w:szCs w:val="22"/>
        </w:rPr>
        <w:t>Pasien hemodialisis mengalami kualitas hidup yang lebih buruk dari individu pada umumnya.</w:t>
      </w:r>
      <w:proofErr w:type="gramEnd"/>
      <w:r w:rsidRPr="00EF7FC0">
        <w:rPr>
          <w:sz w:val="22"/>
          <w:szCs w:val="22"/>
        </w:rPr>
        <w:t xml:space="preserve"> Secara khusus, pasien </w:t>
      </w:r>
      <w:proofErr w:type="gramStart"/>
      <w:r w:rsidRPr="00EF7FC0">
        <w:rPr>
          <w:sz w:val="22"/>
          <w:szCs w:val="22"/>
        </w:rPr>
        <w:t>akan</w:t>
      </w:r>
      <w:proofErr w:type="gramEnd"/>
      <w:r w:rsidRPr="00EF7FC0">
        <w:rPr>
          <w:sz w:val="22"/>
          <w:szCs w:val="22"/>
        </w:rPr>
        <w:t xml:space="preserve"> mengalami penderitaan fisik, dan keterbatasan beraktifitas sehari-hari </w:t>
      </w:r>
      <w:bookmarkStart w:id="3" w:name="OLE_LINK1"/>
      <w:r w:rsidRPr="00EF7FC0">
        <w:rPr>
          <w:sz w:val="22"/>
          <w:szCs w:val="22"/>
        </w:rPr>
        <w:t>(Mailani, 2015).</w:t>
      </w:r>
      <w:bookmarkEnd w:id="3"/>
      <w:r w:rsidRPr="00EF7FC0">
        <w:rPr>
          <w:sz w:val="22"/>
          <w:szCs w:val="22"/>
        </w:rPr>
        <w:t xml:space="preserve"> Senduk et al (2016) melakukan penelitian tentang hubungan anemia dengan kualitas hidup pasien GGK yang sedang menjalani hemodialisa menggunakan kuesioner SF-36 yang dilakukan terhadap 60 responden didapatkan hasil bahwa terjadi penurunan pada sebagian skala yaitu skala fungsi fisik, keterbatasan fisik, kesehatan umum dan vitalitas. Pada penderita gagal ginjal kronik </w:t>
      </w:r>
      <w:proofErr w:type="gramStart"/>
      <w:r w:rsidRPr="00EF7FC0">
        <w:rPr>
          <w:sz w:val="22"/>
          <w:szCs w:val="22"/>
        </w:rPr>
        <w:t>akan</w:t>
      </w:r>
      <w:proofErr w:type="gramEnd"/>
      <w:r w:rsidRPr="00EF7FC0">
        <w:rPr>
          <w:sz w:val="22"/>
          <w:szCs w:val="22"/>
        </w:rPr>
        <w:t xml:space="preserve"> mengalami perubahan fisik. Kelemahan </w:t>
      </w:r>
    </w:p>
    <w:p w:rsidR="0016198A" w:rsidRPr="00EF7FC0" w:rsidRDefault="0016198A" w:rsidP="00B67C68">
      <w:pPr>
        <w:ind w:left="270" w:firstLine="450"/>
        <w:jc w:val="both"/>
        <w:rPr>
          <w:sz w:val="22"/>
          <w:szCs w:val="22"/>
        </w:rPr>
      </w:pPr>
    </w:p>
    <w:p w:rsidR="006D6DF9" w:rsidRPr="00EF7FC0" w:rsidRDefault="0016198A" w:rsidP="0016198A">
      <w:pPr>
        <w:ind w:left="270"/>
        <w:jc w:val="both"/>
        <w:rPr>
          <w:sz w:val="22"/>
          <w:szCs w:val="22"/>
        </w:rPr>
      </w:pPr>
      <w:bookmarkStart w:id="4" w:name="_Toc491474040"/>
      <w:r w:rsidRPr="00EF7FC0">
        <w:rPr>
          <w:sz w:val="22"/>
          <w:szCs w:val="22"/>
        </w:rPr>
        <w:t>Tabel III. Kualitas Hidup Tiap Domain Pasien</w:t>
      </w:r>
      <w:bookmarkEnd w:id="4"/>
    </w:p>
    <w:tbl>
      <w:tblPr>
        <w:tblStyle w:val="TableGrid"/>
        <w:tblW w:w="4068" w:type="dxa"/>
        <w:tblInd w:w="198" w:type="dxa"/>
        <w:tblLayout w:type="fixed"/>
        <w:tblLook w:val="04A0"/>
      </w:tblPr>
      <w:tblGrid>
        <w:gridCol w:w="1548"/>
        <w:gridCol w:w="810"/>
        <w:gridCol w:w="720"/>
        <w:gridCol w:w="990"/>
      </w:tblGrid>
      <w:tr w:rsidR="00EF7FC0" w:rsidRPr="00EF7FC0" w:rsidTr="0016198A">
        <w:trPr>
          <w:trHeight w:val="584"/>
        </w:trPr>
        <w:tc>
          <w:tcPr>
            <w:tcW w:w="1548" w:type="dxa"/>
            <w:vAlign w:val="center"/>
            <w:hideMark/>
          </w:tcPr>
          <w:p w:rsidR="008060D4" w:rsidRPr="00EF7FC0" w:rsidRDefault="008060D4" w:rsidP="008060D4">
            <w:pPr>
              <w:pStyle w:val="ListParagraph"/>
              <w:ind w:left="0"/>
              <w:jc w:val="center"/>
              <w:rPr>
                <w:rFonts w:ascii="Times New Roman" w:hAnsi="Times New Roman"/>
                <w:b/>
                <w:sz w:val="16"/>
                <w:szCs w:val="16"/>
              </w:rPr>
            </w:pPr>
            <w:r w:rsidRPr="00EF7FC0">
              <w:rPr>
                <w:rFonts w:ascii="Times New Roman" w:hAnsi="Times New Roman"/>
                <w:b/>
                <w:sz w:val="16"/>
                <w:szCs w:val="16"/>
              </w:rPr>
              <w:t>Domain</w:t>
            </w:r>
          </w:p>
        </w:tc>
        <w:tc>
          <w:tcPr>
            <w:tcW w:w="1530" w:type="dxa"/>
            <w:gridSpan w:val="2"/>
            <w:vAlign w:val="center"/>
            <w:hideMark/>
          </w:tcPr>
          <w:p w:rsidR="008060D4" w:rsidRPr="00EF7FC0" w:rsidRDefault="008060D4" w:rsidP="008060D4">
            <w:pPr>
              <w:pStyle w:val="ListParagraph"/>
              <w:ind w:left="0"/>
              <w:jc w:val="center"/>
              <w:rPr>
                <w:rFonts w:ascii="Times New Roman" w:hAnsi="Times New Roman"/>
                <w:b/>
                <w:sz w:val="16"/>
                <w:szCs w:val="16"/>
              </w:rPr>
            </w:pPr>
            <w:r w:rsidRPr="00EF7FC0">
              <w:rPr>
                <w:rFonts w:ascii="Times New Roman" w:hAnsi="Times New Roman"/>
                <w:b/>
                <w:sz w:val="16"/>
                <w:szCs w:val="16"/>
              </w:rPr>
              <w:t>Kualitas Hidup</w:t>
            </w:r>
          </w:p>
        </w:tc>
        <w:tc>
          <w:tcPr>
            <w:tcW w:w="990" w:type="dxa"/>
            <w:vAlign w:val="center"/>
            <w:hideMark/>
          </w:tcPr>
          <w:p w:rsidR="008060D4" w:rsidRPr="00EF7FC0" w:rsidRDefault="008060D4" w:rsidP="008060D4">
            <w:pPr>
              <w:pStyle w:val="ListParagraph"/>
              <w:ind w:left="0"/>
              <w:jc w:val="center"/>
              <w:rPr>
                <w:rFonts w:ascii="Times New Roman" w:hAnsi="Times New Roman"/>
                <w:b/>
                <w:sz w:val="16"/>
                <w:szCs w:val="16"/>
              </w:rPr>
            </w:pPr>
            <w:r w:rsidRPr="00EF7FC0">
              <w:rPr>
                <w:rFonts w:ascii="Times New Roman" w:hAnsi="Times New Roman"/>
                <w:b/>
                <w:sz w:val="16"/>
                <w:szCs w:val="16"/>
              </w:rPr>
              <w:t>Jumlah Responden</w:t>
            </w:r>
          </w:p>
        </w:tc>
      </w:tr>
      <w:tr w:rsidR="00EF7FC0" w:rsidRPr="00EF7FC0" w:rsidTr="0016198A">
        <w:trPr>
          <w:trHeight w:val="24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1</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(Fungsi Fisik)</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&lt;52.4</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43</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rPr>
                <w:rFonts w:ascii="Times New Roman" w:hAnsi="Times New Roman"/>
                <w:sz w:val="16"/>
                <w:szCs w:val="16"/>
              </w:rPr>
            </w:pPr>
            <w:r w:rsidRPr="00EF7FC0">
              <w:rPr>
                <w:rFonts w:ascii="Times New Roman" w:hAnsi="Times New Roman"/>
                <w:sz w:val="16"/>
                <w:szCs w:val="16"/>
              </w:rPr>
              <w:t xml:space="preserve">    &gt;52.4</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50</w:t>
            </w:r>
          </w:p>
        </w:tc>
      </w:tr>
      <w:tr w:rsidR="00EF7FC0" w:rsidRPr="00EF7FC0" w:rsidTr="0016198A">
        <w:trPr>
          <w:trHeight w:val="24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2</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(Keadaan Fisik)</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&lt;26.1</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67</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&gt;26.1</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26</w:t>
            </w:r>
          </w:p>
        </w:tc>
      </w:tr>
      <w:tr w:rsidR="00EF7FC0" w:rsidRPr="00EF7FC0" w:rsidTr="0016198A">
        <w:trPr>
          <w:trHeight w:val="24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3</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(Nyeri Tubuh)</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&lt;55.5</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38</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&gt;55.5</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55</w:t>
            </w:r>
          </w:p>
        </w:tc>
      </w:tr>
      <w:tr w:rsidR="00EF7FC0" w:rsidRPr="00EF7FC0" w:rsidTr="0016198A">
        <w:trPr>
          <w:trHeight w:val="26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4</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(Kesehatan Umum)</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&lt;50.7</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46</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&gt;50.7</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47</w:t>
            </w:r>
          </w:p>
        </w:tc>
      </w:tr>
      <w:tr w:rsidR="00EF7FC0" w:rsidRPr="00EF7FC0" w:rsidTr="0016198A">
        <w:trPr>
          <w:trHeight w:val="24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5</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(Kesehatan Mental)</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&lt;76.6</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45</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&gt;76.6</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48</w:t>
            </w:r>
          </w:p>
        </w:tc>
      </w:tr>
      <w:tr w:rsidR="00EF7FC0" w:rsidRPr="00EF7FC0" w:rsidTr="0016198A">
        <w:trPr>
          <w:trHeight w:val="24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6</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(Keadaan Emosional)</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&lt;40.5</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64</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&gt;40.5</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29</w:t>
            </w:r>
          </w:p>
        </w:tc>
      </w:tr>
      <w:tr w:rsidR="00EF7FC0" w:rsidRPr="00EF7FC0" w:rsidTr="0016198A">
        <w:trPr>
          <w:trHeight w:val="24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7</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(Fungsi Sosial)</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&lt;67.5</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48</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&gt;67.5</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45</w:t>
            </w:r>
          </w:p>
        </w:tc>
      </w:tr>
      <w:tr w:rsidR="00EF7FC0" w:rsidRPr="00EF7FC0" w:rsidTr="0016198A">
        <w:trPr>
          <w:trHeight w:val="261"/>
        </w:trPr>
        <w:tc>
          <w:tcPr>
            <w:tcW w:w="1548" w:type="dxa"/>
            <w:vMerge w:val="restart"/>
            <w:vAlign w:val="center"/>
            <w:hideMark/>
          </w:tcPr>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Domain 8</w:t>
            </w:r>
          </w:p>
          <w:p w:rsidR="008060D4" w:rsidRPr="00EF7FC0" w:rsidRDefault="008060D4" w:rsidP="008060D4">
            <w:pPr>
              <w:pStyle w:val="ListParagraph"/>
              <w:ind w:left="0"/>
              <w:rPr>
                <w:rFonts w:ascii="Times New Roman" w:hAnsi="Times New Roman"/>
                <w:sz w:val="16"/>
                <w:szCs w:val="16"/>
              </w:rPr>
            </w:pPr>
            <w:r w:rsidRPr="00EF7FC0">
              <w:rPr>
                <w:rFonts w:ascii="Times New Roman" w:hAnsi="Times New Roman"/>
                <w:sz w:val="16"/>
                <w:szCs w:val="16"/>
              </w:rPr>
              <w:t>(Fungsi Vital)</w:t>
            </w: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&lt;61.6</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47</w:t>
            </w:r>
          </w:p>
        </w:tc>
      </w:tr>
      <w:tr w:rsidR="00EF7FC0" w:rsidRPr="00EF7FC0" w:rsidTr="0016198A">
        <w:trPr>
          <w:trHeight w:val="135"/>
        </w:trPr>
        <w:tc>
          <w:tcPr>
            <w:tcW w:w="1548" w:type="dxa"/>
            <w:vMerge/>
            <w:vAlign w:val="center"/>
            <w:hideMark/>
          </w:tcPr>
          <w:p w:rsidR="008060D4" w:rsidRPr="00EF7FC0" w:rsidRDefault="008060D4" w:rsidP="008060D4">
            <w:pPr>
              <w:rPr>
                <w:rFonts w:ascii="Times New Roman" w:hAnsi="Times New Roman"/>
                <w:sz w:val="16"/>
                <w:szCs w:val="16"/>
              </w:rPr>
            </w:pPr>
          </w:p>
        </w:tc>
        <w:tc>
          <w:tcPr>
            <w:tcW w:w="81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&gt;61.6</w:t>
            </w:r>
          </w:p>
        </w:tc>
        <w:tc>
          <w:tcPr>
            <w:tcW w:w="720" w:type="dxa"/>
            <w:vAlign w:val="center"/>
            <w:hideMark/>
          </w:tcPr>
          <w:p w:rsidR="008060D4" w:rsidRPr="00EF7FC0" w:rsidRDefault="008060D4" w:rsidP="008060D4">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990" w:type="dxa"/>
            <w:vAlign w:val="center"/>
            <w:hideMark/>
          </w:tcPr>
          <w:p w:rsidR="008060D4" w:rsidRPr="00EF7FC0" w:rsidRDefault="008060D4" w:rsidP="008060D4">
            <w:pPr>
              <w:ind w:left="60" w:right="60"/>
              <w:jc w:val="center"/>
              <w:rPr>
                <w:rFonts w:ascii="Times New Roman" w:hAnsi="Times New Roman"/>
                <w:sz w:val="16"/>
                <w:szCs w:val="16"/>
              </w:rPr>
            </w:pPr>
            <w:r w:rsidRPr="00EF7FC0">
              <w:rPr>
                <w:rFonts w:ascii="Times New Roman" w:hAnsi="Times New Roman"/>
                <w:sz w:val="16"/>
                <w:szCs w:val="16"/>
              </w:rPr>
              <w:t>46</w:t>
            </w:r>
          </w:p>
        </w:tc>
      </w:tr>
    </w:tbl>
    <w:p w:rsidR="006D6DF9" w:rsidRPr="00EF7FC0" w:rsidRDefault="006D6DF9" w:rsidP="008060D4">
      <w:pPr>
        <w:jc w:val="both"/>
        <w:rPr>
          <w:sz w:val="22"/>
          <w:szCs w:val="22"/>
        </w:rPr>
      </w:pPr>
    </w:p>
    <w:p w:rsidR="008060D4" w:rsidRPr="00EF7FC0" w:rsidRDefault="008060D4" w:rsidP="008060D4">
      <w:pPr>
        <w:ind w:left="270" w:firstLine="450"/>
        <w:jc w:val="both"/>
        <w:rPr>
          <w:sz w:val="22"/>
          <w:szCs w:val="22"/>
        </w:rPr>
      </w:pPr>
      <w:r w:rsidRPr="00EF7FC0">
        <w:rPr>
          <w:sz w:val="22"/>
          <w:szCs w:val="22"/>
        </w:rPr>
        <w:lastRenderedPageBreak/>
        <w:t xml:space="preserve">Pasien yang menjalani hemodialisis juga rentan terhadap masalah emosional seperti stress yang berkaitan dengan pembatasan diet dan cairan, keterbatasan fisik, penyakit terkait, dan efek samping obat, serta ketergantungan terhadap dialisis akan berdampak terhadap menurunya kualitas hidup pasien. </w:t>
      </w:r>
      <w:proofErr w:type="gramStart"/>
      <w:r w:rsidRPr="00EF7FC0">
        <w:rPr>
          <w:sz w:val="22"/>
          <w:szCs w:val="22"/>
        </w:rPr>
        <w:t>Depresi dan kecemasan merupakan gangguan psikologis yang paling sering dialami oleh pasien yang menjalani hemodialisis, hal ini dikarenakan gejala uremia seperti kelelahan, gangguan tidur, menurunya nafsu makan dan gangguan kognitif.</w:t>
      </w:r>
      <w:proofErr w:type="gramEnd"/>
      <w:r w:rsidRPr="00EF7FC0">
        <w:rPr>
          <w:sz w:val="22"/>
          <w:szCs w:val="22"/>
        </w:rPr>
        <w:t xml:space="preserve"> </w:t>
      </w:r>
      <w:proofErr w:type="gramStart"/>
      <w:r w:rsidRPr="00EF7FC0">
        <w:rPr>
          <w:sz w:val="22"/>
          <w:szCs w:val="22"/>
        </w:rPr>
        <w:t>Hingga 50% dari pasien yang memualai dialisis mengalami depresi.</w:t>
      </w:r>
      <w:proofErr w:type="gramEnd"/>
      <w:r w:rsidRPr="00EF7FC0">
        <w:rPr>
          <w:sz w:val="22"/>
          <w:szCs w:val="22"/>
        </w:rPr>
        <w:t xml:space="preserve"> </w:t>
      </w:r>
      <w:proofErr w:type="gramStart"/>
      <w:r w:rsidRPr="00EF7FC0">
        <w:rPr>
          <w:sz w:val="22"/>
          <w:szCs w:val="22"/>
        </w:rPr>
        <w:t>Gejala depresi yang ditunjukan seperti rasa bersalah, putus asa, mudah marah dan bunuh diri.</w:t>
      </w:r>
      <w:proofErr w:type="gramEnd"/>
      <w:r w:rsidRPr="00EF7FC0">
        <w:rPr>
          <w:sz w:val="22"/>
          <w:szCs w:val="22"/>
        </w:rPr>
        <w:t xml:space="preserve"> </w:t>
      </w:r>
      <w:proofErr w:type="gramStart"/>
      <w:r w:rsidRPr="00EF7FC0">
        <w:rPr>
          <w:sz w:val="22"/>
          <w:szCs w:val="22"/>
        </w:rPr>
        <w:t>Selain itu pasien juga merasa menjadi beban dalam keluarga dan khawatir tentang penampilan atau gangguan citra tubuh (Mailani, 2015).</w:t>
      </w:r>
      <w:proofErr w:type="gramEnd"/>
    </w:p>
    <w:p w:rsidR="008060D4" w:rsidRPr="00EF7FC0" w:rsidRDefault="008060D4" w:rsidP="008060D4">
      <w:pPr>
        <w:ind w:left="270" w:firstLine="450"/>
        <w:jc w:val="both"/>
        <w:rPr>
          <w:sz w:val="22"/>
          <w:szCs w:val="22"/>
        </w:rPr>
      </w:pPr>
      <w:proofErr w:type="gramStart"/>
      <w:r w:rsidRPr="00EF7FC0">
        <w:rPr>
          <w:sz w:val="22"/>
          <w:szCs w:val="22"/>
        </w:rPr>
        <w:t>Terapi anemia menggunakan EPO dapat meningkatkan kualitas hidup pasien gagal ginjal kronis (Keown et al, 2010).</w:t>
      </w:r>
      <w:proofErr w:type="gramEnd"/>
      <w:r w:rsidRPr="00EF7FC0">
        <w:rPr>
          <w:sz w:val="22"/>
          <w:szCs w:val="22"/>
        </w:rPr>
        <w:t xml:space="preserve"> </w:t>
      </w:r>
      <w:proofErr w:type="gramStart"/>
      <w:r w:rsidRPr="00EF7FC0">
        <w:rPr>
          <w:sz w:val="22"/>
          <w:szCs w:val="22"/>
        </w:rPr>
        <w:t>Pada tabel berikut dapat dilihat hubungan penggunaan EPO terhadap kualitas hidup.</w:t>
      </w:r>
      <w:proofErr w:type="gramEnd"/>
      <w:r w:rsidRPr="00EF7FC0">
        <w:rPr>
          <w:sz w:val="22"/>
          <w:szCs w:val="22"/>
        </w:rPr>
        <w:t xml:space="preserve"> </w:t>
      </w:r>
      <w:proofErr w:type="gramStart"/>
      <w:r w:rsidRPr="00EF7FC0">
        <w:rPr>
          <w:sz w:val="22"/>
          <w:szCs w:val="22"/>
        </w:rPr>
        <w:t xml:space="preserve">Pada penelitian ini analisis menggunakan analisis </w:t>
      </w:r>
      <w:bookmarkStart w:id="5" w:name="OLE_LINK2"/>
      <w:r w:rsidRPr="00EF7FC0">
        <w:rPr>
          <w:sz w:val="22"/>
          <w:szCs w:val="22"/>
        </w:rPr>
        <w:t>Chi-Square</w:t>
      </w:r>
      <w:bookmarkEnd w:id="5"/>
      <w:r w:rsidRPr="00EF7FC0">
        <w:rPr>
          <w:sz w:val="22"/>
          <w:szCs w:val="22"/>
        </w:rPr>
        <w:t>.</w:t>
      </w:r>
      <w:proofErr w:type="gramEnd"/>
    </w:p>
    <w:p w:rsidR="0016198A" w:rsidRPr="00EF7FC0" w:rsidRDefault="0016198A" w:rsidP="008060D4">
      <w:pPr>
        <w:ind w:left="270" w:firstLine="450"/>
        <w:jc w:val="both"/>
        <w:rPr>
          <w:sz w:val="22"/>
          <w:szCs w:val="22"/>
        </w:rPr>
      </w:pPr>
    </w:p>
    <w:p w:rsidR="006F5103" w:rsidRPr="00EF7FC0" w:rsidRDefault="006F5103" w:rsidP="0016198A">
      <w:pPr>
        <w:ind w:left="270"/>
        <w:jc w:val="both"/>
        <w:rPr>
          <w:sz w:val="22"/>
          <w:szCs w:val="22"/>
        </w:rPr>
      </w:pPr>
      <w:bookmarkStart w:id="6" w:name="_Toc491474041"/>
      <w:proofErr w:type="gramStart"/>
      <w:r w:rsidRPr="00EF7FC0">
        <w:rPr>
          <w:sz w:val="22"/>
          <w:szCs w:val="22"/>
        </w:rPr>
        <w:t xml:space="preserve">Tabel </w:t>
      </w:r>
      <w:r w:rsidR="0016198A" w:rsidRPr="00EF7FC0">
        <w:rPr>
          <w:sz w:val="22"/>
          <w:szCs w:val="22"/>
        </w:rPr>
        <w:t>I</w:t>
      </w:r>
      <w:proofErr w:type="gramEnd"/>
      <w:r w:rsidR="00E26F24" w:rsidRPr="00EF7FC0">
        <w:rPr>
          <w:sz w:val="22"/>
          <w:szCs w:val="22"/>
        </w:rPr>
        <w:fldChar w:fldCharType="begin"/>
      </w:r>
      <w:r w:rsidRPr="00EF7FC0">
        <w:rPr>
          <w:sz w:val="22"/>
          <w:szCs w:val="22"/>
        </w:rPr>
        <w:instrText xml:space="preserve"> SEQ Tabel \* ROMAN </w:instrText>
      </w:r>
      <w:r w:rsidR="00E26F24" w:rsidRPr="00EF7FC0">
        <w:rPr>
          <w:sz w:val="22"/>
          <w:szCs w:val="22"/>
        </w:rPr>
        <w:fldChar w:fldCharType="separate"/>
      </w:r>
      <w:r w:rsidR="00DF2517">
        <w:rPr>
          <w:noProof/>
          <w:sz w:val="22"/>
          <w:szCs w:val="22"/>
        </w:rPr>
        <w:t>II</w:t>
      </w:r>
      <w:r w:rsidR="00E26F24" w:rsidRPr="00EF7FC0">
        <w:rPr>
          <w:sz w:val="22"/>
          <w:szCs w:val="22"/>
        </w:rPr>
        <w:fldChar w:fldCharType="end"/>
      </w:r>
      <w:proofErr w:type="gramStart"/>
      <w:r w:rsidRPr="00EF7FC0">
        <w:rPr>
          <w:sz w:val="22"/>
          <w:szCs w:val="22"/>
        </w:rPr>
        <w:t>.</w:t>
      </w:r>
      <w:proofErr w:type="gramEnd"/>
      <w:r w:rsidRPr="00EF7FC0">
        <w:rPr>
          <w:sz w:val="22"/>
          <w:szCs w:val="22"/>
        </w:rPr>
        <w:t xml:space="preserve"> Hubungan Penggunaan Erythropoietin terhadap Kualitas Hidup</w:t>
      </w:r>
      <w:bookmarkEnd w:id="6"/>
    </w:p>
    <w:tbl>
      <w:tblPr>
        <w:tblStyle w:val="TableGrid"/>
        <w:tblW w:w="3708" w:type="dxa"/>
        <w:tblInd w:w="378" w:type="dxa"/>
        <w:tblLayout w:type="fixed"/>
        <w:tblLook w:val="04A0"/>
      </w:tblPr>
      <w:tblGrid>
        <w:gridCol w:w="558"/>
        <w:gridCol w:w="900"/>
        <w:gridCol w:w="720"/>
        <w:gridCol w:w="720"/>
        <w:gridCol w:w="810"/>
      </w:tblGrid>
      <w:tr w:rsidR="00EF7FC0" w:rsidRPr="00EF7FC0" w:rsidTr="006F5103">
        <w:trPr>
          <w:trHeight w:val="306"/>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Domain</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kelompok</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Kualitas Hidup</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i/>
                <w:sz w:val="16"/>
                <w:szCs w:val="16"/>
              </w:rPr>
              <w:t xml:space="preserve">P </w:t>
            </w:r>
            <w:r w:rsidRPr="00EF7FC0">
              <w:rPr>
                <w:rFonts w:ascii="Times New Roman" w:hAnsi="Times New Roman"/>
                <w:sz w:val="16"/>
                <w:szCs w:val="16"/>
              </w:rPr>
              <w:t>Value</w:t>
            </w:r>
          </w:p>
        </w:tc>
      </w:tr>
      <w:tr w:rsidR="00EF7FC0" w:rsidRPr="00EF7FC0" w:rsidTr="006F5103">
        <w:trPr>
          <w:trHeight w:val="32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Rendah</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Tinggi</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EF7FC0" w:rsidRPr="00EF7FC0" w:rsidTr="006F5103">
        <w:trPr>
          <w:trHeight w:val="23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jc w:val="center"/>
              <w:rPr>
                <w:rFonts w:ascii="Times New Roman" w:hAnsi="Times New Roman"/>
                <w:sz w:val="16"/>
                <w:szCs w:val="16"/>
              </w:rPr>
            </w:pPr>
            <w:r w:rsidRPr="00EF7FC0">
              <w:rPr>
                <w:rFonts w:ascii="Times New Roman" w:hAnsi="Times New Roman"/>
                <w:sz w:val="16"/>
                <w:szCs w:val="16"/>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45</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0.530</w:t>
            </w:r>
          </w:p>
        </w:tc>
      </w:tr>
      <w:tr w:rsidR="00EF7FC0" w:rsidRPr="00EF7FC0" w:rsidTr="006F5103">
        <w:trPr>
          <w:trHeight w:val="21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5</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EF7FC0" w:rsidRPr="00EF7FC0" w:rsidTr="006F5103">
        <w:trPr>
          <w:trHeight w:val="234"/>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23</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0.569</w:t>
            </w:r>
          </w:p>
        </w:tc>
      </w:tr>
      <w:tr w:rsidR="00EF7FC0" w:rsidRPr="00EF7FC0" w:rsidTr="006F5103">
        <w:trPr>
          <w:trHeight w:val="104"/>
        </w:trPr>
        <w:tc>
          <w:tcPr>
            <w:tcW w:w="558" w:type="dxa"/>
            <w:vMerge/>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3</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EF7FC0" w:rsidRPr="00EF7FC0" w:rsidTr="006F5103">
        <w:trPr>
          <w:trHeight w:val="218"/>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34</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49</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0.616</w:t>
            </w:r>
          </w:p>
        </w:tc>
      </w:tr>
      <w:tr w:rsidR="00EF7FC0" w:rsidRPr="00EF7FC0" w:rsidTr="006F5103">
        <w:trPr>
          <w:trHeight w:val="104"/>
        </w:trPr>
        <w:tc>
          <w:tcPr>
            <w:tcW w:w="558" w:type="dxa"/>
            <w:vMerge/>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6</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EF7FC0" w:rsidRPr="00EF7FC0" w:rsidTr="006F5103">
        <w:trPr>
          <w:trHeight w:val="218"/>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41</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42</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0.616</w:t>
            </w:r>
          </w:p>
        </w:tc>
      </w:tr>
      <w:tr w:rsidR="00EF7FC0" w:rsidRPr="00EF7FC0" w:rsidTr="006F5103">
        <w:trPr>
          <w:trHeight w:val="104"/>
        </w:trPr>
        <w:tc>
          <w:tcPr>
            <w:tcW w:w="558" w:type="dxa"/>
            <w:vMerge/>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5</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EF7FC0" w:rsidRPr="00EF7FC0" w:rsidTr="006F5103">
        <w:trPr>
          <w:trHeight w:val="218"/>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41</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42</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0.412</w:t>
            </w:r>
          </w:p>
        </w:tc>
      </w:tr>
      <w:tr w:rsidR="00EF7FC0" w:rsidRPr="00EF7FC0" w:rsidTr="006F5103">
        <w:trPr>
          <w:trHeight w:val="104"/>
        </w:trPr>
        <w:tc>
          <w:tcPr>
            <w:tcW w:w="558" w:type="dxa"/>
            <w:vMerge/>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6</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EF7FC0" w:rsidRPr="00EF7FC0" w:rsidTr="006F5103">
        <w:trPr>
          <w:trHeight w:val="234"/>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57</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26</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0.621</w:t>
            </w:r>
          </w:p>
        </w:tc>
      </w:tr>
      <w:tr w:rsidR="00EF7FC0" w:rsidRPr="00EF7FC0" w:rsidTr="006F5103">
        <w:trPr>
          <w:trHeight w:val="104"/>
        </w:trPr>
        <w:tc>
          <w:tcPr>
            <w:tcW w:w="558" w:type="dxa"/>
            <w:vMerge/>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3</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EF7FC0" w:rsidRPr="00EF7FC0" w:rsidTr="006F5103">
        <w:trPr>
          <w:trHeight w:val="218"/>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41</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42</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0.186</w:t>
            </w:r>
          </w:p>
        </w:tc>
      </w:tr>
      <w:tr w:rsidR="00EF7FC0" w:rsidRPr="00EF7FC0" w:rsidTr="006F5103">
        <w:trPr>
          <w:trHeight w:val="104"/>
        </w:trPr>
        <w:tc>
          <w:tcPr>
            <w:tcW w:w="558" w:type="dxa"/>
            <w:vMerge/>
            <w:tcBorders>
              <w:top w:val="single" w:sz="4" w:space="0" w:color="auto"/>
              <w:left w:val="single" w:sz="4" w:space="0" w:color="auto"/>
              <w:bottom w:val="single" w:sz="4" w:space="0" w:color="auto"/>
              <w:right w:val="single" w:sz="4" w:space="0" w:color="auto"/>
            </w:tcBorders>
            <w:vAlign w:val="center"/>
          </w:tcPr>
          <w:p w:rsidR="006F5103" w:rsidRPr="00EF7FC0" w:rsidRDefault="006F5103" w:rsidP="006F5103">
            <w:pPr>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pStyle w:val="ListParagraph"/>
              <w:ind w:left="0"/>
              <w:jc w:val="center"/>
              <w:rPr>
                <w:rFonts w:ascii="Times New Roman" w:hAnsi="Times New Roman"/>
                <w:sz w:val="16"/>
                <w:szCs w:val="16"/>
              </w:rPr>
            </w:pPr>
            <w:r w:rsidRPr="00EF7FC0">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ind w:left="60" w:right="60"/>
              <w:jc w:val="center"/>
              <w:rPr>
                <w:rFonts w:ascii="Times New Roman" w:hAnsi="Times New Roman"/>
                <w:sz w:val="16"/>
                <w:szCs w:val="16"/>
              </w:rPr>
            </w:pPr>
            <w:r w:rsidRPr="00EF7FC0">
              <w:rPr>
                <w:rFonts w:ascii="Times New Roman" w:hAnsi="Times New Roman"/>
                <w:sz w:val="16"/>
                <w:szCs w:val="16"/>
              </w:rPr>
              <w:t>3</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F5103" w:rsidRPr="00EF7FC0" w:rsidRDefault="006F5103" w:rsidP="006F5103">
            <w:pPr>
              <w:rPr>
                <w:rFonts w:ascii="Times New Roman" w:hAnsi="Times New Roman"/>
                <w:sz w:val="16"/>
                <w:szCs w:val="16"/>
              </w:rPr>
            </w:pPr>
          </w:p>
        </w:tc>
      </w:tr>
      <w:tr w:rsidR="009108A7" w:rsidRPr="00EF7FC0" w:rsidTr="0010356F">
        <w:trPr>
          <w:trHeight w:val="234"/>
        </w:trPr>
        <w:tc>
          <w:tcPr>
            <w:tcW w:w="558" w:type="dxa"/>
            <w:vMerge w:val="restart"/>
            <w:tcBorders>
              <w:top w:val="single" w:sz="4" w:space="0" w:color="auto"/>
              <w:left w:val="single" w:sz="4" w:space="0" w:color="auto"/>
              <w:right w:val="single" w:sz="4" w:space="0" w:color="auto"/>
            </w:tcBorders>
            <w:vAlign w:val="center"/>
          </w:tcPr>
          <w:p w:rsidR="009108A7" w:rsidRPr="00EF7FC0" w:rsidRDefault="009108A7" w:rsidP="006F5103">
            <w:pPr>
              <w:pStyle w:val="ListParagraph"/>
              <w:ind w:left="0"/>
              <w:jc w:val="center"/>
              <w:rPr>
                <w:rFonts w:ascii="Times New Roman" w:hAnsi="Times New Roman"/>
                <w:sz w:val="16"/>
                <w:szCs w:val="16"/>
              </w:rPr>
            </w:pPr>
            <w:r w:rsidRPr="00EF7FC0">
              <w:rPr>
                <w:rFonts w:ascii="Times New Roman" w:hAnsi="Times New Roman"/>
                <w:sz w:val="16"/>
                <w:szCs w:val="16"/>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9108A7" w:rsidRPr="00EF7FC0" w:rsidRDefault="009108A7" w:rsidP="006F5103">
            <w:pPr>
              <w:pStyle w:val="ListParagraph"/>
              <w:ind w:left="0"/>
              <w:jc w:val="center"/>
              <w:rPr>
                <w:rFonts w:ascii="Times New Roman" w:hAnsi="Times New Roman"/>
                <w:sz w:val="16"/>
                <w:szCs w:val="16"/>
              </w:rPr>
            </w:pPr>
            <w:r w:rsidRPr="00EF7FC0">
              <w:rPr>
                <w:rFonts w:ascii="Times New Roman" w:hAnsi="Times New Roman"/>
                <w:sz w:val="16"/>
                <w:szCs w:val="16"/>
              </w:rPr>
              <w:t>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9108A7" w:rsidRPr="00EF7FC0" w:rsidRDefault="009108A7" w:rsidP="006F5103">
            <w:pPr>
              <w:ind w:left="60" w:right="60"/>
              <w:jc w:val="center"/>
              <w:rPr>
                <w:rFonts w:ascii="Times New Roman" w:hAnsi="Times New Roman"/>
                <w:sz w:val="16"/>
                <w:szCs w:val="16"/>
              </w:rPr>
            </w:pPr>
            <w:r w:rsidRPr="00EF7FC0">
              <w:rPr>
                <w:rFonts w:ascii="Times New Roman" w:hAnsi="Times New Roman"/>
                <w:sz w:val="16"/>
                <w:szCs w:val="16"/>
              </w:rPr>
              <w:t>42</w:t>
            </w:r>
          </w:p>
        </w:tc>
        <w:tc>
          <w:tcPr>
            <w:tcW w:w="720" w:type="dxa"/>
            <w:tcBorders>
              <w:top w:val="single" w:sz="4" w:space="0" w:color="auto"/>
              <w:left w:val="single" w:sz="4" w:space="0" w:color="auto"/>
              <w:bottom w:val="single" w:sz="4" w:space="0" w:color="auto"/>
              <w:right w:val="single" w:sz="4" w:space="0" w:color="auto"/>
            </w:tcBorders>
            <w:vAlign w:val="center"/>
            <w:hideMark/>
          </w:tcPr>
          <w:p w:rsidR="009108A7" w:rsidRPr="00EF7FC0" w:rsidRDefault="009108A7" w:rsidP="006F5103">
            <w:pPr>
              <w:ind w:left="60" w:right="60"/>
              <w:jc w:val="center"/>
              <w:rPr>
                <w:rFonts w:ascii="Times New Roman" w:hAnsi="Times New Roman"/>
                <w:sz w:val="16"/>
                <w:szCs w:val="16"/>
              </w:rPr>
            </w:pPr>
            <w:r w:rsidRPr="00EF7FC0">
              <w:rPr>
                <w:rFonts w:ascii="Times New Roman" w:hAnsi="Times New Roman"/>
                <w:sz w:val="16"/>
                <w:szCs w:val="16"/>
              </w:rPr>
              <w:t>41</w:t>
            </w:r>
          </w:p>
        </w:tc>
        <w:tc>
          <w:tcPr>
            <w:tcW w:w="810" w:type="dxa"/>
            <w:vMerge w:val="restart"/>
            <w:tcBorders>
              <w:top w:val="single" w:sz="4" w:space="0" w:color="auto"/>
              <w:left w:val="single" w:sz="4" w:space="0" w:color="auto"/>
              <w:right w:val="single" w:sz="4" w:space="0" w:color="auto"/>
            </w:tcBorders>
            <w:vAlign w:val="center"/>
            <w:hideMark/>
          </w:tcPr>
          <w:p w:rsidR="009108A7" w:rsidRPr="00EF7FC0" w:rsidRDefault="009108A7" w:rsidP="006F5103">
            <w:pPr>
              <w:pStyle w:val="ListParagraph"/>
              <w:ind w:left="0"/>
              <w:jc w:val="center"/>
              <w:rPr>
                <w:rFonts w:ascii="Times New Roman" w:hAnsi="Times New Roman"/>
                <w:sz w:val="16"/>
                <w:szCs w:val="16"/>
              </w:rPr>
            </w:pPr>
            <w:r w:rsidRPr="00EF7FC0">
              <w:rPr>
                <w:rFonts w:ascii="Times New Roman" w:hAnsi="Times New Roman"/>
                <w:sz w:val="16"/>
                <w:szCs w:val="16"/>
              </w:rPr>
              <w:t>0.616</w:t>
            </w:r>
          </w:p>
        </w:tc>
      </w:tr>
      <w:tr w:rsidR="009108A7" w:rsidRPr="00EF7FC0" w:rsidTr="0010356F">
        <w:trPr>
          <w:trHeight w:val="234"/>
        </w:trPr>
        <w:tc>
          <w:tcPr>
            <w:tcW w:w="558" w:type="dxa"/>
            <w:vMerge/>
            <w:tcBorders>
              <w:left w:val="single" w:sz="4" w:space="0" w:color="auto"/>
              <w:bottom w:val="single" w:sz="4" w:space="0" w:color="auto"/>
              <w:right w:val="single" w:sz="4" w:space="0" w:color="auto"/>
            </w:tcBorders>
            <w:vAlign w:val="center"/>
          </w:tcPr>
          <w:p w:rsidR="009108A7" w:rsidRPr="00EF7FC0" w:rsidRDefault="009108A7" w:rsidP="006F5103">
            <w:pPr>
              <w:pStyle w:val="ListParagraph"/>
              <w:ind w:left="0"/>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9108A7" w:rsidRPr="009108A7" w:rsidRDefault="009108A7" w:rsidP="006F5103">
            <w:pPr>
              <w:pStyle w:val="ListParagraph"/>
              <w:ind w:left="0"/>
              <w:jc w:val="center"/>
              <w:rPr>
                <w:sz w:val="16"/>
                <w:szCs w:val="16"/>
                <w:lang w:val="id-ID"/>
              </w:rPr>
            </w:pPr>
            <w:r w:rsidRPr="009108A7">
              <w:rPr>
                <w:rFonts w:ascii="Times New Roman" w:hAnsi="Times New Roman"/>
                <w:sz w:val="16"/>
                <w:szCs w:val="16"/>
              </w:rPr>
              <w:t>Non epo</w:t>
            </w:r>
          </w:p>
        </w:tc>
        <w:tc>
          <w:tcPr>
            <w:tcW w:w="720" w:type="dxa"/>
            <w:tcBorders>
              <w:top w:val="single" w:sz="4" w:space="0" w:color="auto"/>
              <w:left w:val="single" w:sz="4" w:space="0" w:color="auto"/>
              <w:bottom w:val="single" w:sz="4" w:space="0" w:color="auto"/>
              <w:right w:val="single" w:sz="4" w:space="0" w:color="auto"/>
            </w:tcBorders>
            <w:vAlign w:val="center"/>
            <w:hideMark/>
          </w:tcPr>
          <w:p w:rsidR="009108A7" w:rsidRPr="009108A7" w:rsidRDefault="009108A7" w:rsidP="006F5103">
            <w:pPr>
              <w:ind w:left="60" w:right="60"/>
              <w:jc w:val="center"/>
              <w:rPr>
                <w:sz w:val="16"/>
                <w:szCs w:val="16"/>
                <w:lang w:val="id-ID"/>
              </w:rPr>
            </w:pPr>
            <w:r>
              <w:rPr>
                <w:sz w:val="16"/>
                <w:szCs w:val="16"/>
                <w:lang w:val="id-ID"/>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9108A7" w:rsidRPr="009108A7" w:rsidRDefault="009108A7" w:rsidP="006F5103">
            <w:pPr>
              <w:ind w:left="60" w:right="60"/>
              <w:jc w:val="center"/>
              <w:rPr>
                <w:sz w:val="16"/>
                <w:szCs w:val="16"/>
                <w:lang w:val="id-ID"/>
              </w:rPr>
            </w:pPr>
            <w:r>
              <w:rPr>
                <w:sz w:val="16"/>
                <w:szCs w:val="16"/>
                <w:lang w:val="id-ID"/>
              </w:rPr>
              <w:t>5</w:t>
            </w:r>
          </w:p>
        </w:tc>
        <w:tc>
          <w:tcPr>
            <w:tcW w:w="810" w:type="dxa"/>
            <w:vMerge/>
            <w:tcBorders>
              <w:left w:val="single" w:sz="4" w:space="0" w:color="auto"/>
              <w:bottom w:val="single" w:sz="4" w:space="0" w:color="auto"/>
              <w:right w:val="single" w:sz="4" w:space="0" w:color="auto"/>
            </w:tcBorders>
            <w:vAlign w:val="center"/>
            <w:hideMark/>
          </w:tcPr>
          <w:p w:rsidR="009108A7" w:rsidRPr="00EF7FC0" w:rsidRDefault="009108A7" w:rsidP="006F5103">
            <w:pPr>
              <w:pStyle w:val="ListParagraph"/>
              <w:ind w:left="0"/>
              <w:jc w:val="center"/>
              <w:rPr>
                <w:sz w:val="16"/>
                <w:szCs w:val="16"/>
              </w:rPr>
            </w:pPr>
          </w:p>
        </w:tc>
      </w:tr>
    </w:tbl>
    <w:p w:rsidR="006F5103" w:rsidRPr="00EF7FC0" w:rsidRDefault="006F5103" w:rsidP="008060D4">
      <w:pPr>
        <w:ind w:left="270" w:firstLine="450"/>
        <w:jc w:val="both"/>
        <w:rPr>
          <w:sz w:val="22"/>
          <w:szCs w:val="22"/>
        </w:rPr>
      </w:pPr>
    </w:p>
    <w:p w:rsidR="008060D4" w:rsidRPr="00EF7FC0" w:rsidRDefault="00230920" w:rsidP="008060D4">
      <w:pPr>
        <w:ind w:left="270" w:firstLine="450"/>
        <w:jc w:val="both"/>
        <w:rPr>
          <w:sz w:val="22"/>
          <w:szCs w:val="22"/>
        </w:rPr>
      </w:pPr>
      <w:proofErr w:type="gramStart"/>
      <w:r w:rsidRPr="00EF7FC0">
        <w:rPr>
          <w:sz w:val="22"/>
          <w:szCs w:val="22"/>
        </w:rPr>
        <w:t xml:space="preserve">Berdasarkan data uji statistik dengan menggunakan analisis </w:t>
      </w:r>
      <w:r w:rsidRPr="00EF7FC0">
        <w:rPr>
          <w:i/>
          <w:sz w:val="22"/>
          <w:szCs w:val="22"/>
        </w:rPr>
        <w:t>Chi-Square</w:t>
      </w:r>
      <w:r w:rsidRPr="00EF7FC0">
        <w:rPr>
          <w:sz w:val="22"/>
          <w:szCs w:val="22"/>
        </w:rPr>
        <w:t xml:space="preserve"> pada seluruh domain, tidak terdapat hubungan antara penggunaan EPO dan Non EPO terhadap kualitas hidup pasien </w:t>
      </w:r>
      <w:r w:rsidRPr="00EF7FC0">
        <w:rPr>
          <w:sz w:val="22"/>
          <w:szCs w:val="22"/>
        </w:rPr>
        <w:lastRenderedPageBreak/>
        <w:t>hemodialisa.</w:t>
      </w:r>
      <w:proofErr w:type="gramEnd"/>
      <w:r w:rsidRPr="00EF7FC0">
        <w:rPr>
          <w:sz w:val="22"/>
          <w:szCs w:val="22"/>
        </w:rPr>
        <w:t xml:space="preserve"> Adapun beberapa faktor yang berpengaruh terhadap nilai kualitas hidup pasien GGK yang menjalani dialisis yaitu menurunya kondisi fisik, lama menjalani hemodialisa, kepatuhan terapi adjuvant, komplikasi lain dari GGK dan tingkat keparahan anemia. </w:t>
      </w:r>
      <w:proofErr w:type="gramStart"/>
      <w:r w:rsidRPr="00EF7FC0">
        <w:rPr>
          <w:sz w:val="22"/>
          <w:szCs w:val="22"/>
        </w:rPr>
        <w:t>Menurunya kondisi fisik merupakan salah satu faktor dari kualitas hidup pasien yang rendah.</w:t>
      </w:r>
      <w:proofErr w:type="gramEnd"/>
      <w:r w:rsidRPr="00EF7FC0">
        <w:rPr>
          <w:sz w:val="22"/>
          <w:szCs w:val="22"/>
        </w:rPr>
        <w:t xml:space="preserve"> </w:t>
      </w:r>
      <w:proofErr w:type="gramStart"/>
      <w:r w:rsidRPr="00EF7FC0">
        <w:rPr>
          <w:sz w:val="22"/>
          <w:szCs w:val="22"/>
        </w:rPr>
        <w:t>Menurunya kondisi fisik juga dapat disebabkan oleh faktor umur dan riwayat penyakit, karena semakin tinggi umur maka kondisi fisik juga semakin menurun dan energi yang dihasilkan pun tidak banyak (Purwitasari, 2016).</w:t>
      </w:r>
      <w:proofErr w:type="gramEnd"/>
    </w:p>
    <w:p w:rsidR="002D0F14" w:rsidRPr="00EF7FC0" w:rsidRDefault="002D0F14" w:rsidP="00D21E59">
      <w:pPr>
        <w:ind w:left="270" w:firstLine="450"/>
        <w:jc w:val="both"/>
        <w:rPr>
          <w:sz w:val="22"/>
          <w:szCs w:val="22"/>
        </w:rPr>
      </w:pPr>
      <w:r w:rsidRPr="00EF7FC0">
        <w:rPr>
          <w:sz w:val="22"/>
          <w:szCs w:val="22"/>
        </w:rPr>
        <w:t xml:space="preserve">Lama </w:t>
      </w:r>
      <w:proofErr w:type="gramStart"/>
      <w:r w:rsidRPr="00EF7FC0">
        <w:rPr>
          <w:sz w:val="22"/>
          <w:szCs w:val="22"/>
        </w:rPr>
        <w:t>menjalani</w:t>
      </w:r>
      <w:proofErr w:type="gramEnd"/>
      <w:r w:rsidRPr="00EF7FC0">
        <w:rPr>
          <w:sz w:val="22"/>
          <w:szCs w:val="22"/>
        </w:rPr>
        <w:t xml:space="preserve"> hemodialisa juga berperan penting dalam kualitas hidup pasien, bahwa semakin lama pasien telah menjalani hemodialisa maka semakin besar pula skor kualitas hidup. </w:t>
      </w:r>
      <w:proofErr w:type="gramStart"/>
      <w:r w:rsidRPr="00EF7FC0">
        <w:rPr>
          <w:sz w:val="22"/>
          <w:szCs w:val="22"/>
        </w:rPr>
        <w:t>Pada awal menjalani hemodialisa respon pasien seolah-olah tidak menerima atas kehilangan fungsi ginjalnya, marah dengan kejadian yang ada dan merasa sedih dengan kejadian yang dialami sehingga memerlukan penyesuaian diri yang lama terhadap lingkungan yang baru.</w:t>
      </w:r>
      <w:proofErr w:type="gramEnd"/>
      <w:r w:rsidRPr="00EF7FC0">
        <w:rPr>
          <w:sz w:val="22"/>
          <w:szCs w:val="22"/>
        </w:rPr>
        <w:t xml:space="preserve"> </w:t>
      </w:r>
      <w:proofErr w:type="gramStart"/>
      <w:r w:rsidRPr="00EF7FC0">
        <w:rPr>
          <w:sz w:val="22"/>
          <w:szCs w:val="22"/>
        </w:rPr>
        <w:t>Pasien yang telah lama menjalani hemodialisa memiliki kualitas hidup yang baik karena secara psikologis lebih siap, sudah dapat beradaptasi dengan keadaan yang harus dijalani, sudah mendapat lebih banyak pendidikan kesehatan dan terjalinya hubungan sosial baik dengan petugas kesehatan (Astuti, 2015).</w:t>
      </w:r>
      <w:proofErr w:type="gramEnd"/>
      <w:r w:rsidRPr="00EF7FC0">
        <w:rPr>
          <w:sz w:val="22"/>
          <w:szCs w:val="22"/>
        </w:rPr>
        <w:t xml:space="preserve"> </w:t>
      </w:r>
    </w:p>
    <w:p w:rsidR="006D6DF9" w:rsidRPr="00EF7FC0" w:rsidRDefault="002D0F14" w:rsidP="002D0F14">
      <w:pPr>
        <w:ind w:left="270" w:firstLine="450"/>
        <w:jc w:val="both"/>
        <w:rPr>
          <w:sz w:val="22"/>
          <w:szCs w:val="22"/>
        </w:rPr>
      </w:pPr>
      <w:r w:rsidRPr="00EF7FC0">
        <w:rPr>
          <w:sz w:val="22"/>
          <w:szCs w:val="22"/>
        </w:rPr>
        <w:t xml:space="preserve">Menurut Hidayati (2016), adapun kemungkinan penyebab lain tidak tercapainya target terapi EPO antara lain karena dialisis yang tidak adekuat, tidak adanya titrasi dosis EPO, hiperparatiroid, penyakit hati, inflamasi kronik, dan malnutrisi. </w:t>
      </w:r>
      <w:proofErr w:type="gramStart"/>
      <w:r w:rsidRPr="00EF7FC0">
        <w:rPr>
          <w:sz w:val="22"/>
          <w:szCs w:val="22"/>
        </w:rPr>
        <w:t>Dialisis yang tidak adekuat dapat menyebabkan toksin uremia yang masih ada akibat dialisis yang tidak adekuat dapat menghambat produksi eritropoietin, menurunkan respon sumsum tulang terhadap eritropoietin dan menghambat sintesis heme.</w:t>
      </w:r>
      <w:proofErr w:type="gramEnd"/>
      <w:r w:rsidRPr="00EF7FC0">
        <w:rPr>
          <w:sz w:val="22"/>
          <w:szCs w:val="22"/>
        </w:rPr>
        <w:t xml:space="preserve"> </w:t>
      </w:r>
      <w:proofErr w:type="gramStart"/>
      <w:r w:rsidRPr="00EF7FC0">
        <w:rPr>
          <w:sz w:val="22"/>
          <w:szCs w:val="22"/>
        </w:rPr>
        <w:t>Selain itu keadaan uremia juga dapat memperpendek umur sel darah merah.</w:t>
      </w:r>
      <w:proofErr w:type="gramEnd"/>
      <w:r w:rsidRPr="00EF7FC0">
        <w:rPr>
          <w:sz w:val="22"/>
          <w:szCs w:val="22"/>
        </w:rPr>
        <w:t xml:space="preserve"> </w:t>
      </w:r>
      <w:proofErr w:type="gramStart"/>
      <w:r w:rsidRPr="00EF7FC0">
        <w:rPr>
          <w:sz w:val="22"/>
          <w:szCs w:val="22"/>
        </w:rPr>
        <w:t>Keadaan uremia pada pasien dialysis dapat menyebabkan mual, muntah, dan penurunan nafsu makanpasien.</w:t>
      </w:r>
      <w:proofErr w:type="gramEnd"/>
    </w:p>
    <w:p w:rsidR="006D6DF9" w:rsidRPr="00EF7FC0" w:rsidRDefault="006D6DF9" w:rsidP="00B67C68">
      <w:pPr>
        <w:ind w:left="270" w:firstLine="450"/>
        <w:jc w:val="both"/>
        <w:rPr>
          <w:sz w:val="22"/>
          <w:szCs w:val="22"/>
        </w:rPr>
      </w:pPr>
    </w:p>
    <w:p w:rsidR="00D73172" w:rsidRPr="00EF7FC0" w:rsidRDefault="00D73172" w:rsidP="00F8402B">
      <w:pPr>
        <w:pStyle w:val="Heading1"/>
        <w:numPr>
          <w:ilvl w:val="0"/>
          <w:numId w:val="8"/>
        </w:numPr>
        <w:suppressAutoHyphens/>
        <w:spacing w:after="60"/>
        <w:ind w:left="270" w:hanging="270"/>
        <w:rPr>
          <w:i w:val="0"/>
          <w:sz w:val="22"/>
          <w:szCs w:val="22"/>
        </w:rPr>
      </w:pPr>
      <w:r w:rsidRPr="00EF7FC0">
        <w:rPr>
          <w:i w:val="0"/>
          <w:sz w:val="22"/>
          <w:szCs w:val="22"/>
        </w:rPr>
        <w:lastRenderedPageBreak/>
        <w:t>KESIMPULAN</w:t>
      </w:r>
    </w:p>
    <w:p w:rsidR="00D21E59" w:rsidRPr="00EF7FC0" w:rsidRDefault="00D21E59" w:rsidP="00D21E59">
      <w:pPr>
        <w:ind w:left="270" w:firstLine="450"/>
        <w:jc w:val="both"/>
        <w:rPr>
          <w:sz w:val="22"/>
          <w:szCs w:val="22"/>
        </w:rPr>
      </w:pPr>
      <w:r w:rsidRPr="00EF7FC0">
        <w:rPr>
          <w:sz w:val="22"/>
          <w:szCs w:val="22"/>
        </w:rPr>
        <w:t xml:space="preserve">Hasil penelitian ini menunjukan bahwa tidak terdapat perbedaan yang signifikan </w:t>
      </w:r>
      <w:proofErr w:type="gramStart"/>
      <w:r w:rsidRPr="00EF7FC0">
        <w:rPr>
          <w:sz w:val="22"/>
          <w:szCs w:val="22"/>
        </w:rPr>
        <w:t>kadar</w:t>
      </w:r>
      <w:proofErr w:type="gramEnd"/>
      <w:r w:rsidRPr="00EF7FC0">
        <w:rPr>
          <w:sz w:val="22"/>
          <w:szCs w:val="22"/>
        </w:rPr>
        <w:t xml:space="preserve"> haemoglobin dan indeks eritrosit darah dari kedua kelompok dan tidak terdapat hubungan penggunaan eritropoietin terhadap kualitas hidup pasien hemodialisa.</w:t>
      </w:r>
    </w:p>
    <w:p w:rsidR="00D73172" w:rsidRPr="00EF7FC0" w:rsidRDefault="00D73172" w:rsidP="00D21E59">
      <w:pPr>
        <w:spacing w:after="240"/>
        <w:jc w:val="both"/>
        <w:rPr>
          <w:sz w:val="22"/>
          <w:szCs w:val="22"/>
        </w:rPr>
      </w:pPr>
    </w:p>
    <w:p w:rsidR="00D73172" w:rsidRPr="00EF7FC0" w:rsidRDefault="00D73172" w:rsidP="00F8402B">
      <w:pPr>
        <w:pStyle w:val="Heading1"/>
        <w:numPr>
          <w:ilvl w:val="0"/>
          <w:numId w:val="8"/>
        </w:numPr>
        <w:suppressAutoHyphens/>
        <w:spacing w:after="60"/>
        <w:ind w:left="270" w:hanging="270"/>
        <w:rPr>
          <w:i w:val="0"/>
          <w:sz w:val="22"/>
          <w:szCs w:val="22"/>
        </w:rPr>
      </w:pPr>
      <w:r w:rsidRPr="00EF7FC0">
        <w:rPr>
          <w:i w:val="0"/>
          <w:sz w:val="22"/>
          <w:szCs w:val="22"/>
        </w:rPr>
        <w:t>REFERENSI</w:t>
      </w:r>
    </w:p>
    <w:p w:rsidR="00D21E59" w:rsidRPr="00EF7FC0" w:rsidRDefault="00D21E59" w:rsidP="00D21E59">
      <w:pPr>
        <w:ind w:left="900" w:hanging="630"/>
        <w:jc w:val="both"/>
        <w:rPr>
          <w:sz w:val="22"/>
          <w:szCs w:val="22"/>
        </w:rPr>
      </w:pPr>
      <w:r w:rsidRPr="00EF7FC0">
        <w:rPr>
          <w:sz w:val="22"/>
          <w:szCs w:val="22"/>
        </w:rPr>
        <w:t xml:space="preserve">Astuti, N.D., Syamsiatun, N.H., &amp; Suryani, I., 2015, Faktor-faktor yang Berhubungan dengan Kualitas Hidup Pasien Gagal Ginjal Kronik yang Menjalani Hemodialisa di Rumah Sakit Umum Daerah Panembahan Senopati Bantul, </w:t>
      </w:r>
      <w:r w:rsidRPr="00EF7FC0">
        <w:rPr>
          <w:i/>
          <w:sz w:val="22"/>
          <w:szCs w:val="22"/>
        </w:rPr>
        <w:t>Jurnal Nutricia,</w:t>
      </w:r>
      <w:r w:rsidRPr="00EF7FC0">
        <w:rPr>
          <w:b/>
          <w:sz w:val="22"/>
          <w:szCs w:val="22"/>
        </w:rPr>
        <w:t>17</w:t>
      </w:r>
      <w:r w:rsidRPr="00EF7FC0">
        <w:rPr>
          <w:sz w:val="22"/>
          <w:szCs w:val="22"/>
        </w:rPr>
        <w:t>(1): 10-16</w:t>
      </w:r>
    </w:p>
    <w:p w:rsidR="005855A3" w:rsidRPr="00EF7FC0" w:rsidRDefault="005855A3" w:rsidP="00D21E59">
      <w:pPr>
        <w:ind w:left="900" w:hanging="630"/>
        <w:jc w:val="both"/>
        <w:rPr>
          <w:sz w:val="22"/>
          <w:szCs w:val="22"/>
        </w:rPr>
      </w:pPr>
      <w:r w:rsidRPr="00EF7FC0">
        <w:rPr>
          <w:sz w:val="22"/>
          <w:szCs w:val="22"/>
        </w:rPr>
        <w:t xml:space="preserve">Bhatta S, Aryal G, Kafle RK. Journal of Pathology of Nepal (2001) Vol 1, 26 – 29. Diunduh dari </w:t>
      </w:r>
      <w:proofErr w:type="gramStart"/>
      <w:r w:rsidRPr="00EF7FC0">
        <w:rPr>
          <w:sz w:val="22"/>
          <w:szCs w:val="22"/>
        </w:rPr>
        <w:t>URL :</w:t>
      </w:r>
      <w:proofErr w:type="gramEnd"/>
      <w:r w:rsidRPr="00EF7FC0">
        <w:rPr>
          <w:sz w:val="22"/>
          <w:szCs w:val="22"/>
        </w:rPr>
        <w:t xml:space="preserve"> </w:t>
      </w:r>
      <w:hyperlink r:id="rId9" w:history="1">
        <w:r w:rsidRPr="00EF7FC0">
          <w:rPr>
            <w:sz w:val="22"/>
            <w:szCs w:val="22"/>
          </w:rPr>
          <w:t>http://nepjol.info/index.php/JPN/article/view/4446/3716</w:t>
        </w:r>
      </w:hyperlink>
    </w:p>
    <w:p w:rsidR="00D21E59" w:rsidRPr="00EF7FC0" w:rsidRDefault="00D21E59" w:rsidP="00D21E59">
      <w:pPr>
        <w:ind w:left="900" w:hanging="630"/>
        <w:jc w:val="both"/>
        <w:rPr>
          <w:sz w:val="22"/>
          <w:szCs w:val="22"/>
        </w:rPr>
      </w:pPr>
      <w:r w:rsidRPr="00EF7FC0">
        <w:rPr>
          <w:sz w:val="22"/>
          <w:szCs w:val="22"/>
        </w:rPr>
        <w:t>Hidayati, et al</w:t>
      </w:r>
      <w:proofErr w:type="gramStart"/>
      <w:r w:rsidRPr="00EF7FC0">
        <w:rPr>
          <w:sz w:val="22"/>
          <w:szCs w:val="22"/>
        </w:rPr>
        <w:t>..</w:t>
      </w:r>
      <w:proofErr w:type="gramEnd"/>
      <w:r w:rsidRPr="00EF7FC0">
        <w:rPr>
          <w:sz w:val="22"/>
          <w:szCs w:val="22"/>
        </w:rPr>
        <w:t xml:space="preserve">2011. Evaluasi Terapi Anemia Pada Pasien ASKES dengan Gagal Ginjal Kronis yang Menjalani </w:t>
      </w:r>
      <w:proofErr w:type="gramStart"/>
      <w:r w:rsidRPr="00EF7FC0">
        <w:rPr>
          <w:sz w:val="22"/>
          <w:szCs w:val="22"/>
        </w:rPr>
        <w:t>Hemodialisis  Rutin</w:t>
      </w:r>
      <w:proofErr w:type="gramEnd"/>
      <w:r w:rsidRPr="00EF7FC0">
        <w:rPr>
          <w:sz w:val="22"/>
          <w:szCs w:val="22"/>
        </w:rPr>
        <w:t xml:space="preserve"> Di RS PKU Muhammadiyah Yogyakarta.Jurnal Manajement dan Pelayanan Farmasi, Vol.,No.3 / September 2011</w:t>
      </w:r>
    </w:p>
    <w:p w:rsidR="005855A3" w:rsidRPr="00EF7FC0" w:rsidRDefault="005855A3" w:rsidP="00D21E59">
      <w:pPr>
        <w:ind w:left="900" w:hanging="630"/>
        <w:jc w:val="both"/>
        <w:rPr>
          <w:sz w:val="22"/>
          <w:szCs w:val="22"/>
        </w:rPr>
      </w:pPr>
      <w:proofErr w:type="gramStart"/>
      <w:r w:rsidRPr="00EF7FC0">
        <w:rPr>
          <w:sz w:val="22"/>
          <w:szCs w:val="22"/>
        </w:rPr>
        <w:t>KDIGO, 2012, Clinical Practice Guidline for Anemia in Chronic Kidney Disease, Kidney International Suplement, 2, 279-335, Boston, MA, USA.</w:t>
      </w:r>
      <w:proofErr w:type="gramEnd"/>
    </w:p>
    <w:p w:rsidR="00D21E59" w:rsidRPr="00EF7FC0" w:rsidRDefault="00D21E59" w:rsidP="00D21E59">
      <w:pPr>
        <w:ind w:left="900" w:hanging="630"/>
        <w:jc w:val="both"/>
        <w:rPr>
          <w:sz w:val="22"/>
          <w:szCs w:val="22"/>
        </w:rPr>
      </w:pPr>
      <w:r w:rsidRPr="00EF7FC0">
        <w:rPr>
          <w:sz w:val="22"/>
          <w:szCs w:val="22"/>
        </w:rPr>
        <w:t>Keown, P.A., Churchil, D.A., Poulin-costello, M., Lei, L., Gantotti, S., Agodoa, I., Gitlin, M., Gandra, S.R., Mayne, T.J., 2010, Dialysis patient treated with epoetin alfa show improved anemia symptoms: A new analysis of the Canadian Erythropoietin Study Group trial, Hemodialysis International, 14:168-173</w:t>
      </w:r>
    </w:p>
    <w:p w:rsidR="00D21E59" w:rsidRPr="00EF7FC0" w:rsidRDefault="00D21E59" w:rsidP="00D21E59">
      <w:pPr>
        <w:ind w:left="900" w:hanging="630"/>
        <w:jc w:val="both"/>
        <w:rPr>
          <w:sz w:val="22"/>
          <w:szCs w:val="22"/>
        </w:rPr>
      </w:pPr>
      <w:r w:rsidRPr="00EF7FC0">
        <w:rPr>
          <w:sz w:val="22"/>
          <w:szCs w:val="22"/>
        </w:rPr>
        <w:t>Mailani, F., 2015, Kualitas hidup pasien penyakit ginjal kronik yang menjalani hemodialisis: systematic review, Ners Jurnal keperawatan,11(1): 1-8</w:t>
      </w:r>
    </w:p>
    <w:p w:rsidR="00D21E59" w:rsidRPr="00EF7FC0" w:rsidRDefault="00D21E59" w:rsidP="00D21E59">
      <w:pPr>
        <w:ind w:left="900" w:hanging="630"/>
        <w:jc w:val="both"/>
        <w:rPr>
          <w:sz w:val="22"/>
          <w:szCs w:val="22"/>
        </w:rPr>
      </w:pPr>
      <w:r w:rsidRPr="00EF7FC0">
        <w:rPr>
          <w:sz w:val="22"/>
          <w:szCs w:val="22"/>
        </w:rPr>
        <w:t xml:space="preserve">Mardyaningsih, D.P., 2014, Kualitas Hidup pada Penderita Gagal ginjal </w:t>
      </w:r>
      <w:r w:rsidRPr="00EF7FC0">
        <w:rPr>
          <w:sz w:val="22"/>
          <w:szCs w:val="22"/>
        </w:rPr>
        <w:lastRenderedPageBreak/>
        <w:t>Kronik yang Menjalani terapi hemodialysis di RSUD dr. Soediran Mangun Sumarso Kabupaten Wonogiri, Skripsi, Prodi Keperawatan Stikes Kusuma Husada, Surakarta.</w:t>
      </w:r>
    </w:p>
    <w:p w:rsidR="00D21E59" w:rsidRPr="00EF7FC0" w:rsidRDefault="00D21E59" w:rsidP="00D21E59">
      <w:pPr>
        <w:ind w:left="900" w:hanging="630"/>
        <w:jc w:val="both"/>
        <w:rPr>
          <w:sz w:val="22"/>
          <w:szCs w:val="22"/>
        </w:rPr>
      </w:pPr>
      <w:r w:rsidRPr="00EF7FC0">
        <w:rPr>
          <w:sz w:val="22"/>
          <w:szCs w:val="22"/>
        </w:rPr>
        <w:t>PERNEFRI, 2011, Konsensus Manajemen Anemia Pada Penyakit Ginjal Kronik</w:t>
      </w:r>
      <w:proofErr w:type="gramStart"/>
      <w:r w:rsidRPr="00EF7FC0">
        <w:rPr>
          <w:sz w:val="22"/>
          <w:szCs w:val="22"/>
        </w:rPr>
        <w:t>,Perhimpunsn</w:t>
      </w:r>
      <w:proofErr w:type="gramEnd"/>
      <w:r w:rsidRPr="00EF7FC0">
        <w:rPr>
          <w:sz w:val="22"/>
          <w:szCs w:val="22"/>
        </w:rPr>
        <w:t xml:space="preserve"> Nefrologi Indonesia (PERNEFRI), Jakarta.</w:t>
      </w:r>
    </w:p>
    <w:p w:rsidR="00D21E59" w:rsidRPr="00EF7FC0" w:rsidRDefault="00D21E59" w:rsidP="00D21E59">
      <w:pPr>
        <w:ind w:left="900" w:hanging="630"/>
        <w:jc w:val="both"/>
        <w:rPr>
          <w:sz w:val="22"/>
          <w:szCs w:val="22"/>
        </w:rPr>
      </w:pPr>
      <w:r w:rsidRPr="00EF7FC0">
        <w:rPr>
          <w:sz w:val="22"/>
          <w:szCs w:val="22"/>
        </w:rPr>
        <w:t xml:space="preserve">Purwitasari, D.A., 2016, Kepatuhan Terapi Obat dan Kualitas Hidup pada Pasien Penyakit Ginjal Terminal Di RS PKU Muhammadiyah Bantul, </w:t>
      </w:r>
      <w:r w:rsidRPr="00EF7FC0">
        <w:rPr>
          <w:sz w:val="22"/>
          <w:szCs w:val="22"/>
        </w:rPr>
        <w:lastRenderedPageBreak/>
        <w:t>Skripsi, Fakultas Farmasi Universitas Ahmad Dahlan, Yogyakarta.</w:t>
      </w:r>
    </w:p>
    <w:p w:rsidR="005855A3" w:rsidRPr="00EF7FC0" w:rsidRDefault="005855A3" w:rsidP="00D21E59">
      <w:pPr>
        <w:ind w:left="900" w:hanging="630"/>
        <w:jc w:val="both"/>
        <w:rPr>
          <w:sz w:val="22"/>
          <w:szCs w:val="22"/>
        </w:rPr>
      </w:pPr>
      <w:r w:rsidRPr="00EF7FC0">
        <w:rPr>
          <w:sz w:val="22"/>
          <w:szCs w:val="22"/>
        </w:rPr>
        <w:t xml:space="preserve">Suwitra K. Penyakit Ginjal Kronik. In: Sudoyo AW, Setiyohadi B, Alwi I, et al., 3rd ed. Buku </w:t>
      </w:r>
      <w:proofErr w:type="gramStart"/>
      <w:r w:rsidRPr="00EF7FC0">
        <w:rPr>
          <w:sz w:val="22"/>
          <w:szCs w:val="22"/>
        </w:rPr>
        <w:t>Ajar</w:t>
      </w:r>
      <w:proofErr w:type="gramEnd"/>
      <w:r w:rsidRPr="00EF7FC0">
        <w:rPr>
          <w:sz w:val="22"/>
          <w:szCs w:val="22"/>
        </w:rPr>
        <w:t xml:space="preserve"> Ilmu Penyakit Dalam. Jakarta: InternaPublishing 2009:1035-1040</w:t>
      </w:r>
    </w:p>
    <w:p w:rsidR="00D73172" w:rsidRPr="00EF7FC0" w:rsidRDefault="00D21E59" w:rsidP="00EF7FC0">
      <w:pPr>
        <w:ind w:left="900" w:hanging="630"/>
        <w:jc w:val="both"/>
      </w:pPr>
      <w:bookmarkStart w:id="7" w:name="_GoBack"/>
      <w:r w:rsidRPr="00EF7FC0">
        <w:rPr>
          <w:sz w:val="22"/>
          <w:szCs w:val="22"/>
        </w:rPr>
        <w:t>Sumpeno, S. &amp; Enday, S. 1993 Prevalensi Hipertropi Ventrikel Kiri pada Penderita GGK/GGT Yang Sedang Menjalani Hemodialisis. Acta Medica</w:t>
      </w:r>
      <w:bookmarkEnd w:id="7"/>
    </w:p>
    <w:p w:rsidR="00D73172" w:rsidRPr="00EF7FC0" w:rsidRDefault="00D73172" w:rsidP="00887D67">
      <w:pPr>
        <w:framePr w:w="5700" w:wrap="auto" w:hAnchor="text" w:x="1710"/>
        <w:sectPr w:rsidR="00D73172" w:rsidRPr="00EF7FC0" w:rsidSect="00CA633C">
          <w:type w:val="continuous"/>
          <w:pgSz w:w="11909" w:h="16834" w:code="9"/>
          <w:pgMar w:top="1584" w:right="1440" w:bottom="1440" w:left="1584" w:header="720" w:footer="720" w:gutter="0"/>
          <w:cols w:num="2" w:space="720"/>
          <w:docGrid w:linePitch="360"/>
        </w:sectPr>
      </w:pPr>
    </w:p>
    <w:p w:rsidR="00F54EC7" w:rsidRPr="00EF7FC0" w:rsidRDefault="00F54EC7" w:rsidP="007432C2"/>
    <w:sectPr w:rsidR="00F54EC7" w:rsidRPr="00EF7FC0"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90" w:rsidRDefault="00683D90">
      <w:r>
        <w:separator/>
      </w:r>
    </w:p>
  </w:endnote>
  <w:endnote w:type="continuationSeparator" w:id="0">
    <w:p w:rsidR="00683D90" w:rsidRDefault="00683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C2" w:rsidRDefault="00201B74" w:rsidP="004E2424">
    <w:pPr>
      <w:pStyle w:val="Footer"/>
      <w:tabs>
        <w:tab w:val="right" w:pos="8507"/>
      </w:tabs>
    </w:pPr>
    <w:r>
      <w:tab/>
    </w:r>
  </w:p>
  <w:p w:rsidR="002A01C2" w:rsidRDefault="00683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90" w:rsidRDefault="00683D90">
      <w:r>
        <w:separator/>
      </w:r>
    </w:p>
  </w:footnote>
  <w:footnote w:type="continuationSeparator" w:id="0">
    <w:p w:rsidR="00683D90" w:rsidRDefault="00683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E1A04"/>
    <w:multiLevelType w:val="hybridMultilevel"/>
    <w:tmpl w:val="5F4073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D6E21"/>
    <w:multiLevelType w:val="hybridMultilevel"/>
    <w:tmpl w:val="2ABE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E0E26"/>
    <w:multiLevelType w:val="hybridMultilevel"/>
    <w:tmpl w:val="62CCB2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CE86C2A"/>
    <w:multiLevelType w:val="hybridMultilevel"/>
    <w:tmpl w:val="CD607B6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B53B61"/>
    <w:multiLevelType w:val="hybridMultilevel"/>
    <w:tmpl w:val="8CE0ED6E"/>
    <w:lvl w:ilvl="0" w:tplc="6C7E8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5"/>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3172"/>
    <w:rsid w:val="00017BCC"/>
    <w:rsid w:val="000F5E3B"/>
    <w:rsid w:val="0014192D"/>
    <w:rsid w:val="0016198A"/>
    <w:rsid w:val="00195FE8"/>
    <w:rsid w:val="001B0356"/>
    <w:rsid w:val="001B08F6"/>
    <w:rsid w:val="001B6A84"/>
    <w:rsid w:val="00201B74"/>
    <w:rsid w:val="00203B5F"/>
    <w:rsid w:val="0021008A"/>
    <w:rsid w:val="00214280"/>
    <w:rsid w:val="002241B8"/>
    <w:rsid w:val="00230920"/>
    <w:rsid w:val="00240055"/>
    <w:rsid w:val="0026234A"/>
    <w:rsid w:val="002D0F14"/>
    <w:rsid w:val="00324AFE"/>
    <w:rsid w:val="00327DD5"/>
    <w:rsid w:val="00336B34"/>
    <w:rsid w:val="003451AD"/>
    <w:rsid w:val="00363A39"/>
    <w:rsid w:val="003955B7"/>
    <w:rsid w:val="00445091"/>
    <w:rsid w:val="004760F9"/>
    <w:rsid w:val="004A6B49"/>
    <w:rsid w:val="004C5327"/>
    <w:rsid w:val="005178B1"/>
    <w:rsid w:val="00541D2A"/>
    <w:rsid w:val="00564DEA"/>
    <w:rsid w:val="005855A3"/>
    <w:rsid w:val="005953B5"/>
    <w:rsid w:val="00636167"/>
    <w:rsid w:val="006459CF"/>
    <w:rsid w:val="006636B1"/>
    <w:rsid w:val="00683D90"/>
    <w:rsid w:val="006D6DF9"/>
    <w:rsid w:val="006F5103"/>
    <w:rsid w:val="00710524"/>
    <w:rsid w:val="00713F5B"/>
    <w:rsid w:val="007432C2"/>
    <w:rsid w:val="007A0CBD"/>
    <w:rsid w:val="007D1129"/>
    <w:rsid w:val="0080184F"/>
    <w:rsid w:val="008060D4"/>
    <w:rsid w:val="008129FC"/>
    <w:rsid w:val="0084586B"/>
    <w:rsid w:val="00850401"/>
    <w:rsid w:val="00864A82"/>
    <w:rsid w:val="00887D67"/>
    <w:rsid w:val="00900886"/>
    <w:rsid w:val="009108A7"/>
    <w:rsid w:val="009243FC"/>
    <w:rsid w:val="009331BC"/>
    <w:rsid w:val="00962F6D"/>
    <w:rsid w:val="0099047D"/>
    <w:rsid w:val="009A02F9"/>
    <w:rsid w:val="009E23E8"/>
    <w:rsid w:val="009E6228"/>
    <w:rsid w:val="009F3609"/>
    <w:rsid w:val="00A03ECE"/>
    <w:rsid w:val="00A278EF"/>
    <w:rsid w:val="00A72B34"/>
    <w:rsid w:val="00AA733C"/>
    <w:rsid w:val="00AE435A"/>
    <w:rsid w:val="00B178C0"/>
    <w:rsid w:val="00B67C68"/>
    <w:rsid w:val="00B80114"/>
    <w:rsid w:val="00BB05D3"/>
    <w:rsid w:val="00BD4300"/>
    <w:rsid w:val="00BE7B73"/>
    <w:rsid w:val="00C35CDC"/>
    <w:rsid w:val="00CA633C"/>
    <w:rsid w:val="00CC56AE"/>
    <w:rsid w:val="00D12BFE"/>
    <w:rsid w:val="00D21E59"/>
    <w:rsid w:val="00D26F89"/>
    <w:rsid w:val="00D60EB5"/>
    <w:rsid w:val="00D6335C"/>
    <w:rsid w:val="00D73172"/>
    <w:rsid w:val="00DB5735"/>
    <w:rsid w:val="00DD1748"/>
    <w:rsid w:val="00DD48A1"/>
    <w:rsid w:val="00DF2517"/>
    <w:rsid w:val="00E26F24"/>
    <w:rsid w:val="00E501F4"/>
    <w:rsid w:val="00E66E87"/>
    <w:rsid w:val="00E91763"/>
    <w:rsid w:val="00EB04A7"/>
    <w:rsid w:val="00EF25BC"/>
    <w:rsid w:val="00EF7FC0"/>
    <w:rsid w:val="00F54EC7"/>
    <w:rsid w:val="00F8402B"/>
    <w:rsid w:val="00FB33E1"/>
    <w:rsid w:val="00FF1F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Body of text Char"/>
    <w:link w:val="ListParagraph"/>
    <w:uiPriority w:val="34"/>
    <w:locked/>
    <w:rsid w:val="00B80114"/>
    <w:rPr>
      <w:rFonts w:eastAsia="Times New Roman"/>
      <w:szCs w:val="20"/>
    </w:rPr>
  </w:style>
  <w:style w:type="character" w:customStyle="1" w:styleId="apple-converted-space">
    <w:name w:val="apple-converted-space"/>
    <w:basedOn w:val="DefaultParagraphFont"/>
    <w:rsid w:val="00B80114"/>
  </w:style>
  <w:style w:type="paragraph" w:styleId="NormalWeb">
    <w:name w:val="Normal (Web)"/>
    <w:basedOn w:val="Normal"/>
    <w:uiPriority w:val="99"/>
    <w:unhideWhenUsed/>
    <w:rsid w:val="00F8402B"/>
    <w:pPr>
      <w:spacing w:before="100" w:beforeAutospacing="1" w:after="100" w:afterAutospacing="1"/>
    </w:pPr>
    <w:rPr>
      <w:szCs w:val="24"/>
    </w:rPr>
  </w:style>
  <w:style w:type="paragraph" w:styleId="Caption">
    <w:name w:val="caption"/>
    <w:basedOn w:val="Normal"/>
    <w:next w:val="Normal"/>
    <w:uiPriority w:val="35"/>
    <w:semiHidden/>
    <w:unhideWhenUsed/>
    <w:qFormat/>
    <w:rsid w:val="00AA733C"/>
    <w:pPr>
      <w:spacing w:after="200"/>
    </w:pPr>
    <w:rPr>
      <w:rFonts w:asciiTheme="minorHAnsi" w:eastAsiaTheme="minorHAnsi" w:hAnsiTheme="minorHAnsi" w:cstheme="minorBidi"/>
      <w:b/>
      <w:bCs/>
      <w:color w:val="4F81BD" w:themeColor="accent1"/>
      <w:sz w:val="18"/>
      <w:szCs w:val="18"/>
      <w:lang w:val="id-ID"/>
    </w:rPr>
  </w:style>
  <w:style w:type="character" w:customStyle="1" w:styleId="fontstyle01">
    <w:name w:val="fontstyle01"/>
    <w:basedOn w:val="DefaultParagraphFont"/>
    <w:rsid w:val="00D21E59"/>
    <w:rPr>
      <w:rFonts w:ascii="TimesNewRomanPSMT" w:hAnsi="TimesNewRomanPSMT" w:hint="default"/>
      <w:b w:val="0"/>
      <w:bCs w:val="0"/>
      <w:i w:val="0"/>
      <w:iCs w:val="0"/>
      <w:color w:val="000000"/>
      <w:sz w:val="22"/>
      <w:szCs w:val="22"/>
    </w:rPr>
  </w:style>
  <w:style w:type="paragraph" w:customStyle="1" w:styleId="Default">
    <w:name w:val="Default"/>
    <w:rsid w:val="009A02F9"/>
    <w:pPr>
      <w:autoSpaceDE w:val="0"/>
      <w:autoSpaceDN w:val="0"/>
      <w:adjustRightInd w:val="0"/>
      <w:spacing w:line="240" w:lineRule="auto"/>
    </w:pPr>
    <w:rPr>
      <w:color w:val="00000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Body of text Char"/>
    <w:link w:val="ListParagraph"/>
    <w:uiPriority w:val="34"/>
    <w:locked/>
    <w:rsid w:val="00B80114"/>
    <w:rPr>
      <w:rFonts w:eastAsia="Times New Roman"/>
      <w:szCs w:val="20"/>
    </w:rPr>
  </w:style>
  <w:style w:type="character" w:customStyle="1" w:styleId="apple-converted-space">
    <w:name w:val="apple-converted-space"/>
    <w:basedOn w:val="DefaultParagraphFont"/>
    <w:rsid w:val="00B80114"/>
  </w:style>
  <w:style w:type="paragraph" w:styleId="NormalWeb">
    <w:name w:val="Normal (Web)"/>
    <w:basedOn w:val="Normal"/>
    <w:uiPriority w:val="99"/>
    <w:unhideWhenUsed/>
    <w:rsid w:val="00F8402B"/>
    <w:pPr>
      <w:spacing w:before="100" w:beforeAutospacing="1" w:after="100" w:afterAutospacing="1"/>
    </w:pPr>
    <w:rPr>
      <w:szCs w:val="24"/>
    </w:rPr>
  </w:style>
  <w:style w:type="paragraph" w:styleId="Caption">
    <w:name w:val="caption"/>
    <w:basedOn w:val="Normal"/>
    <w:next w:val="Normal"/>
    <w:uiPriority w:val="35"/>
    <w:semiHidden/>
    <w:unhideWhenUsed/>
    <w:qFormat/>
    <w:rsid w:val="00AA733C"/>
    <w:pPr>
      <w:spacing w:after="200"/>
    </w:pPr>
    <w:rPr>
      <w:rFonts w:asciiTheme="minorHAnsi" w:eastAsiaTheme="minorHAnsi" w:hAnsiTheme="minorHAnsi" w:cstheme="minorBidi"/>
      <w:b/>
      <w:bCs/>
      <w:color w:val="4F81BD" w:themeColor="accent1"/>
      <w:sz w:val="18"/>
      <w:szCs w:val="18"/>
      <w:lang w:val="id-ID"/>
    </w:rPr>
  </w:style>
  <w:style w:type="character" w:customStyle="1" w:styleId="fontstyle01">
    <w:name w:val="fontstyle01"/>
    <w:basedOn w:val="DefaultParagraphFont"/>
    <w:rsid w:val="00D21E59"/>
    <w:rPr>
      <w:rFonts w:ascii="TimesNewRomanPSMT" w:hAnsi="TimesNewRomanPSMT" w:hint="default"/>
      <w:b w:val="0"/>
      <w:bCs w:val="0"/>
      <w:i w:val="0"/>
      <w:iCs w:val="0"/>
      <w:color w:val="000000"/>
      <w:sz w:val="22"/>
      <w:szCs w:val="22"/>
    </w:rPr>
  </w:style>
  <w:style w:type="paragraph" w:customStyle="1" w:styleId="Default">
    <w:name w:val="Default"/>
    <w:rsid w:val="009A02F9"/>
    <w:pPr>
      <w:autoSpaceDE w:val="0"/>
      <w:autoSpaceDN w:val="0"/>
      <w:adjustRightInd w:val="0"/>
      <w:spacing w:line="240" w:lineRule="auto"/>
    </w:pPr>
    <w:rPr>
      <w:color w:val="000000"/>
      <w:lang w:val="id-ID"/>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pjol.info/index.php/JPN/article/view/4446/3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5268-0505-41BE-BF6C-585C3777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7</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Dosen Farmasi</cp:lastModifiedBy>
  <cp:revision>18</cp:revision>
  <cp:lastPrinted>2017-10-30T06:59:00Z</cp:lastPrinted>
  <dcterms:created xsi:type="dcterms:W3CDTF">2017-10-26T13:54:00Z</dcterms:created>
  <dcterms:modified xsi:type="dcterms:W3CDTF">2017-10-30T07:27:00Z</dcterms:modified>
</cp:coreProperties>
</file>